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2B07F" w14:textId="77777777" w:rsidR="00F03BD7" w:rsidRPr="00E43432" w:rsidRDefault="00F03BD7" w:rsidP="008D41E9">
      <w:pPr>
        <w:spacing w:before="240"/>
        <w:rPr>
          <w:rFonts w:ascii="David" w:hAnsi="David" w:cs="David"/>
          <w:b/>
          <w:bCs/>
          <w:rtl/>
        </w:rPr>
      </w:pPr>
      <w:r w:rsidRPr="00E43432">
        <w:rPr>
          <w:rFonts w:ascii="David" w:hAnsi="David" w:cs="David"/>
          <w:b/>
          <w:bCs/>
          <w:rtl/>
        </w:rPr>
        <w:t xml:space="preserve">בבית המשפט המחוזי </w:t>
      </w:r>
      <w:r w:rsidR="008D41E9">
        <w:rPr>
          <w:rFonts w:ascii="David" w:hAnsi="David" w:cs="David" w:hint="cs"/>
          <w:b/>
          <w:bCs/>
          <w:rtl/>
        </w:rPr>
        <w:t>בירושלים</w:t>
      </w:r>
      <w:r w:rsidRPr="00E43432">
        <w:rPr>
          <w:rFonts w:ascii="David" w:hAnsi="David" w:cs="David"/>
          <w:b/>
          <w:bCs/>
          <w:rtl/>
        </w:rPr>
        <w:tab/>
      </w:r>
      <w:r w:rsidRPr="00E43432">
        <w:rPr>
          <w:rFonts w:ascii="David" w:hAnsi="David" w:cs="David"/>
          <w:b/>
          <w:bCs/>
          <w:rtl/>
        </w:rPr>
        <w:tab/>
      </w:r>
      <w:r w:rsidRPr="00E43432">
        <w:rPr>
          <w:rFonts w:ascii="David" w:hAnsi="David" w:cs="David"/>
          <w:b/>
          <w:bCs/>
          <w:rtl/>
        </w:rPr>
        <w:tab/>
        <w:t xml:space="preserve">                                 עת"מ </w:t>
      </w:r>
      <w:r w:rsidR="008D41E9">
        <w:rPr>
          <w:rFonts w:ascii="David" w:hAnsi="David" w:cs="David" w:hint="cs"/>
          <w:b/>
          <w:bCs/>
          <w:rtl/>
        </w:rPr>
        <w:t>20</w:t>
      </w:r>
      <w:r w:rsidRPr="00E43432">
        <w:rPr>
          <w:rFonts w:ascii="David" w:hAnsi="David" w:cs="David"/>
          <w:rtl/>
        </w:rPr>
        <w:t>/_____</w:t>
      </w:r>
    </w:p>
    <w:p w14:paraId="30D9CEE8" w14:textId="77777777" w:rsidR="00F03BD7" w:rsidRPr="00E43432" w:rsidRDefault="00F03BD7" w:rsidP="00202E46">
      <w:pPr>
        <w:pStyle w:val="3"/>
        <w:spacing w:line="360" w:lineRule="auto"/>
        <w:ind w:left="0" w:right="2364"/>
        <w:jc w:val="left"/>
        <w:rPr>
          <w:rFonts w:ascii="David" w:hAnsi="David" w:cs="David"/>
          <w:u w:val="single"/>
          <w:rtl/>
        </w:rPr>
      </w:pPr>
      <w:r w:rsidRPr="00E43432">
        <w:rPr>
          <w:rFonts w:ascii="David" w:hAnsi="David" w:cs="David"/>
          <w:u w:val="single"/>
          <w:rtl/>
        </w:rPr>
        <w:t>בשבתו כבית משפט לעניינים מנהליים</w:t>
      </w:r>
    </w:p>
    <w:p w14:paraId="2EE35ACC" w14:textId="77777777" w:rsidR="00F03BD7" w:rsidRPr="00E43432" w:rsidRDefault="00F03BD7" w:rsidP="00E36628">
      <w:pPr>
        <w:spacing w:before="240" w:line="360" w:lineRule="auto"/>
        <w:rPr>
          <w:rFonts w:ascii="David" w:hAnsi="David" w:cs="David"/>
          <w:b/>
          <w:bCs/>
          <w:rtl/>
        </w:rPr>
      </w:pPr>
    </w:p>
    <w:p w14:paraId="304847DA" w14:textId="254A4ABB" w:rsidR="00B7208D" w:rsidRDefault="00F03BD7" w:rsidP="00BA0525">
      <w:pPr>
        <w:spacing w:line="360" w:lineRule="auto"/>
        <w:ind w:left="2727" w:hanging="2700"/>
        <w:rPr>
          <w:rFonts w:ascii="David" w:hAnsi="David" w:cs="David"/>
          <w:b/>
          <w:bCs/>
          <w:rtl/>
        </w:rPr>
      </w:pPr>
      <w:r w:rsidRPr="00E43432">
        <w:rPr>
          <w:rFonts w:ascii="David" w:hAnsi="David" w:cs="David"/>
          <w:b/>
          <w:bCs/>
          <w:rtl/>
        </w:rPr>
        <w:t>העותרות:</w:t>
      </w:r>
      <w:r w:rsidRPr="00E43432">
        <w:rPr>
          <w:rFonts w:ascii="David" w:hAnsi="David" w:cs="David"/>
          <w:b/>
          <w:bCs/>
          <w:rtl/>
        </w:rPr>
        <w:tab/>
        <w:t xml:space="preserve">1. </w:t>
      </w:r>
      <w:r w:rsidR="00BA0525">
        <w:rPr>
          <w:rFonts w:ascii="David" w:hAnsi="David" w:cs="David" w:hint="cs"/>
          <w:b/>
          <w:bCs/>
          <w:rtl/>
        </w:rPr>
        <w:t>חגי אפרת, ת.ז. 305373532</w:t>
      </w:r>
    </w:p>
    <w:p w14:paraId="69D463AE" w14:textId="42C225B0" w:rsidR="00B7208D" w:rsidRDefault="00B7208D" w:rsidP="00BA0525">
      <w:pPr>
        <w:spacing w:line="360" w:lineRule="auto"/>
        <w:ind w:left="2727" w:hanging="2700"/>
        <w:rPr>
          <w:rFonts w:ascii="David" w:hAnsi="David" w:cs="David"/>
          <w:b/>
          <w:bCs/>
          <w:rtl/>
        </w:rPr>
      </w:pPr>
      <w:r>
        <w:rPr>
          <w:rFonts w:ascii="David" w:hAnsi="David" w:cs="David"/>
          <w:b/>
          <w:bCs/>
          <w:rtl/>
        </w:rPr>
        <w:tab/>
      </w:r>
      <w:r>
        <w:rPr>
          <w:rFonts w:ascii="David" w:hAnsi="David" w:cs="David" w:hint="cs"/>
          <w:b/>
          <w:bCs/>
          <w:rtl/>
        </w:rPr>
        <w:t xml:space="preserve">2. מור גל, ת.ז. </w:t>
      </w:r>
      <w:r w:rsidR="00BA0525">
        <w:rPr>
          <w:rFonts w:ascii="David" w:hAnsi="David" w:cs="David" w:hint="cs"/>
          <w:b/>
          <w:bCs/>
          <w:rtl/>
        </w:rPr>
        <w:t>200683191</w:t>
      </w:r>
    </w:p>
    <w:p w14:paraId="631F06A5" w14:textId="0F0A7B64" w:rsidR="00F03BD7" w:rsidRDefault="00B7208D" w:rsidP="00B72859">
      <w:pPr>
        <w:spacing w:line="360" w:lineRule="auto"/>
        <w:ind w:left="2727"/>
        <w:rPr>
          <w:rFonts w:ascii="David" w:hAnsi="David" w:cs="David"/>
          <w:b/>
          <w:bCs/>
          <w:rtl/>
        </w:rPr>
      </w:pPr>
      <w:r>
        <w:rPr>
          <w:rFonts w:ascii="David" w:hAnsi="David" w:cs="David" w:hint="cs"/>
          <w:b/>
          <w:bCs/>
          <w:rtl/>
        </w:rPr>
        <w:t xml:space="preserve">3. </w:t>
      </w:r>
      <w:r w:rsidR="008D41E9">
        <w:rPr>
          <w:rFonts w:ascii="David" w:hAnsi="David" w:cs="David" w:hint="cs"/>
          <w:b/>
          <w:bCs/>
          <w:rtl/>
        </w:rPr>
        <w:t xml:space="preserve">התנועה הרפורמית </w:t>
      </w:r>
      <w:r w:rsidR="008D41E9">
        <w:rPr>
          <w:rFonts w:ascii="David" w:hAnsi="David" w:cs="David"/>
          <w:b/>
          <w:bCs/>
          <w:rtl/>
        </w:rPr>
        <w:t>–</w:t>
      </w:r>
      <w:r w:rsidR="008D41E9">
        <w:rPr>
          <w:rFonts w:ascii="David" w:hAnsi="David" w:cs="David" w:hint="cs"/>
          <w:b/>
          <w:bCs/>
          <w:rtl/>
        </w:rPr>
        <w:t xml:space="preserve"> יהדות מתקדמת בישראל, </w:t>
      </w:r>
      <w:r w:rsidR="00F03BD7" w:rsidRPr="00E43432">
        <w:rPr>
          <w:rFonts w:ascii="David" w:hAnsi="David" w:cs="David"/>
          <w:b/>
          <w:bCs/>
          <w:rtl/>
        </w:rPr>
        <w:t xml:space="preserve">ע.ר. </w:t>
      </w:r>
      <w:r w:rsidR="008D41E9">
        <w:rPr>
          <w:rFonts w:ascii="David" w:hAnsi="David" w:cs="David" w:hint="cs"/>
          <w:b/>
          <w:bCs/>
          <w:rtl/>
        </w:rPr>
        <w:t>580282853</w:t>
      </w:r>
    </w:p>
    <w:p w14:paraId="384ECD2C" w14:textId="550EC540" w:rsidR="008D41E9" w:rsidRDefault="008D41E9" w:rsidP="008D41E9">
      <w:pPr>
        <w:spacing w:line="360" w:lineRule="auto"/>
        <w:ind w:left="2727" w:hanging="2700"/>
        <w:rPr>
          <w:rFonts w:ascii="David" w:hAnsi="David" w:cs="David"/>
          <w:b/>
          <w:bCs/>
          <w:rtl/>
        </w:rPr>
      </w:pPr>
      <w:r>
        <w:rPr>
          <w:rFonts w:ascii="David" w:hAnsi="David" w:cs="David"/>
          <w:b/>
          <w:bCs/>
          <w:rtl/>
        </w:rPr>
        <w:tab/>
      </w:r>
      <w:r w:rsidR="00B7208D">
        <w:rPr>
          <w:rFonts w:ascii="David" w:hAnsi="David" w:cs="David" w:hint="cs"/>
          <w:b/>
          <w:bCs/>
          <w:rtl/>
        </w:rPr>
        <w:t>4</w:t>
      </w:r>
      <w:r>
        <w:rPr>
          <w:rFonts w:ascii="David" w:hAnsi="David" w:cs="David" w:hint="cs"/>
          <w:b/>
          <w:bCs/>
          <w:rtl/>
        </w:rPr>
        <w:t>. ישראל חופשית, ע.ר.</w:t>
      </w:r>
      <w:r w:rsidR="00542176">
        <w:rPr>
          <w:rFonts w:ascii="David" w:hAnsi="David" w:cs="David" w:hint="cs"/>
          <w:b/>
          <w:bCs/>
          <w:rtl/>
        </w:rPr>
        <w:t xml:space="preserve"> </w:t>
      </w:r>
      <w:r w:rsidR="00542176" w:rsidRPr="00542176">
        <w:rPr>
          <w:rFonts w:cs="David"/>
          <w:b/>
          <w:bCs/>
          <w:rtl/>
        </w:rPr>
        <w:t>580512184</w:t>
      </w:r>
    </w:p>
    <w:p w14:paraId="4221D3AC" w14:textId="32B1FEDE" w:rsidR="008D41E9" w:rsidRDefault="008D41E9" w:rsidP="00B7208D">
      <w:pPr>
        <w:spacing w:line="360" w:lineRule="auto"/>
        <w:ind w:left="2727" w:hanging="2700"/>
        <w:rPr>
          <w:rFonts w:ascii="David" w:hAnsi="David" w:cs="David"/>
          <w:b/>
          <w:bCs/>
          <w:rtl/>
        </w:rPr>
      </w:pPr>
      <w:r>
        <w:rPr>
          <w:rFonts w:ascii="David" w:hAnsi="David" w:cs="David" w:hint="cs"/>
          <w:b/>
          <w:bCs/>
          <w:rtl/>
        </w:rPr>
        <w:tab/>
      </w:r>
      <w:r w:rsidR="00B7208D">
        <w:rPr>
          <w:rFonts w:ascii="David" w:hAnsi="David" w:cs="David" w:hint="cs"/>
          <w:b/>
          <w:bCs/>
          <w:rtl/>
        </w:rPr>
        <w:t>5</w:t>
      </w:r>
      <w:r>
        <w:rPr>
          <w:rFonts w:ascii="David" w:hAnsi="David" w:cs="David" w:hint="cs"/>
          <w:b/>
          <w:bCs/>
          <w:rtl/>
        </w:rPr>
        <w:t>. הבית הפתוח בירושלים לגאווה ולסובלנות</w:t>
      </w:r>
      <w:r w:rsidR="00500782">
        <w:rPr>
          <w:rFonts w:ascii="David" w:hAnsi="David" w:cs="David" w:hint="cs"/>
          <w:b/>
          <w:bCs/>
          <w:rtl/>
        </w:rPr>
        <w:t xml:space="preserve">, ע.ר. </w:t>
      </w:r>
      <w:r w:rsidR="00500782" w:rsidRPr="00542176">
        <w:rPr>
          <w:rFonts w:ascii="David" w:hAnsi="David" w:cs="David"/>
          <w:b/>
          <w:bCs/>
          <w:rtl/>
        </w:rPr>
        <w:t>580304111</w:t>
      </w:r>
    </w:p>
    <w:p w14:paraId="26C23A4A" w14:textId="718B6396" w:rsidR="008D41E9" w:rsidRPr="00E43432" w:rsidRDefault="008D41E9" w:rsidP="008D41E9">
      <w:pPr>
        <w:spacing w:line="360" w:lineRule="auto"/>
        <w:ind w:left="2727" w:hanging="2700"/>
        <w:rPr>
          <w:rFonts w:ascii="David" w:hAnsi="David" w:cs="David"/>
          <w:b/>
          <w:bCs/>
          <w:rtl/>
        </w:rPr>
      </w:pPr>
      <w:r>
        <w:rPr>
          <w:rFonts w:ascii="David" w:hAnsi="David" w:cs="David" w:hint="cs"/>
          <w:b/>
          <w:bCs/>
          <w:rtl/>
        </w:rPr>
        <w:tab/>
      </w:r>
      <w:r w:rsidR="00B7208D">
        <w:rPr>
          <w:rFonts w:ascii="David" w:hAnsi="David" w:cs="David" w:hint="cs"/>
          <w:b/>
          <w:bCs/>
          <w:rtl/>
        </w:rPr>
        <w:t>6</w:t>
      </w:r>
      <w:r>
        <w:rPr>
          <w:rFonts w:ascii="David" w:hAnsi="David" w:cs="David" w:hint="cs"/>
          <w:b/>
          <w:bCs/>
          <w:rtl/>
        </w:rPr>
        <w:t>. האגודה לשמירת זכויות הפרט (האגודה למען הלהט"ב), ע.ר.</w:t>
      </w:r>
      <w:r w:rsidR="0002655F">
        <w:rPr>
          <w:rFonts w:ascii="David" w:hAnsi="David" w:cs="David" w:hint="cs"/>
          <w:b/>
          <w:bCs/>
          <w:rtl/>
        </w:rPr>
        <w:t xml:space="preserve"> </w:t>
      </w:r>
      <w:r w:rsidR="0002655F" w:rsidRPr="00B72859">
        <w:rPr>
          <w:rFonts w:ascii="David" w:hAnsi="David" w:cs="David"/>
          <w:b/>
          <w:bCs/>
          <w:rtl/>
        </w:rPr>
        <w:t>580014058</w:t>
      </w:r>
    </w:p>
    <w:p w14:paraId="0442E355" w14:textId="77777777" w:rsidR="00F03BD7" w:rsidRPr="00E43432" w:rsidRDefault="008D41E9" w:rsidP="008D41E9">
      <w:pPr>
        <w:spacing w:line="360" w:lineRule="auto"/>
        <w:ind w:left="2727" w:hanging="2700"/>
        <w:rPr>
          <w:rFonts w:ascii="David" w:hAnsi="David" w:cs="David"/>
          <w:b/>
          <w:bCs/>
          <w:rtl/>
        </w:rPr>
      </w:pPr>
      <w:r>
        <w:rPr>
          <w:rFonts w:ascii="David" w:hAnsi="David" w:cs="David"/>
          <w:b/>
          <w:bCs/>
          <w:rtl/>
        </w:rPr>
        <w:tab/>
      </w:r>
      <w:r w:rsidR="00F03BD7" w:rsidRPr="00E43432">
        <w:rPr>
          <w:rFonts w:ascii="David" w:hAnsi="David" w:cs="David"/>
          <w:b/>
          <w:bCs/>
          <w:rtl/>
        </w:rPr>
        <w:tab/>
      </w:r>
    </w:p>
    <w:p w14:paraId="1517DB12" w14:textId="77777777" w:rsidR="008D41E9" w:rsidRDefault="008D41E9" w:rsidP="008D41E9">
      <w:pPr>
        <w:ind w:left="2726" w:right="1440"/>
        <w:jc w:val="both"/>
        <w:rPr>
          <w:rFonts w:ascii="David" w:hAnsi="David" w:cs="David"/>
          <w:rtl/>
        </w:rPr>
      </w:pPr>
      <w:r>
        <w:rPr>
          <w:rFonts w:ascii="David" w:hAnsi="David" w:cs="David" w:hint="cs"/>
          <w:rtl/>
        </w:rPr>
        <w:t xml:space="preserve">כולן </w:t>
      </w:r>
      <w:r w:rsidR="00F03BD7" w:rsidRPr="00E43432">
        <w:rPr>
          <w:rFonts w:ascii="David" w:hAnsi="David" w:cs="David"/>
          <w:rtl/>
        </w:rPr>
        <w:t xml:space="preserve">ע"י ב"כ עוה"ד אורלי ארז-לחובסקי ו/או </w:t>
      </w:r>
      <w:r>
        <w:rPr>
          <w:rFonts w:ascii="David" w:hAnsi="David" w:cs="David" w:hint="cs"/>
          <w:rtl/>
        </w:rPr>
        <w:t>מירי נחמיאס יסף</w:t>
      </w:r>
      <w:r w:rsidR="00F03BD7" w:rsidRPr="00E43432">
        <w:rPr>
          <w:rFonts w:ascii="David" w:hAnsi="David" w:cs="David"/>
          <w:rtl/>
        </w:rPr>
        <w:t xml:space="preserve"> ו/או אורי נרוב ו/או </w:t>
      </w:r>
      <w:r>
        <w:rPr>
          <w:rFonts w:ascii="David" w:hAnsi="David" w:cs="David" w:hint="cs"/>
          <w:rtl/>
        </w:rPr>
        <w:t>מיטל ארבל</w:t>
      </w:r>
      <w:r w:rsidR="00F03BD7" w:rsidRPr="00E43432">
        <w:rPr>
          <w:rFonts w:ascii="David" w:hAnsi="David" w:cs="David"/>
          <w:rtl/>
        </w:rPr>
        <w:tab/>
      </w:r>
    </w:p>
    <w:p w14:paraId="4F3BF4F0" w14:textId="77777777" w:rsidR="00F03BD7" w:rsidRPr="00E43432" w:rsidRDefault="00F03BD7" w:rsidP="008D41E9">
      <w:pPr>
        <w:ind w:left="2726" w:right="1440"/>
        <w:jc w:val="both"/>
        <w:rPr>
          <w:rFonts w:ascii="David" w:hAnsi="David" w:cs="David"/>
          <w:rtl/>
        </w:rPr>
      </w:pPr>
      <w:r w:rsidRPr="00E43432">
        <w:rPr>
          <w:rFonts w:ascii="David" w:hAnsi="David" w:cs="David"/>
          <w:rtl/>
        </w:rPr>
        <w:t>שכתובת</w:t>
      </w:r>
      <w:r w:rsidR="008D41E9">
        <w:rPr>
          <w:rFonts w:ascii="David" w:hAnsi="David" w:cs="David" w:hint="cs"/>
          <w:rtl/>
        </w:rPr>
        <w:t>ן</w:t>
      </w:r>
      <w:r w:rsidRPr="00E43432">
        <w:rPr>
          <w:rFonts w:ascii="David" w:hAnsi="David" w:cs="David"/>
          <w:rtl/>
        </w:rPr>
        <w:t xml:space="preserve"> לצורך המצאת כתבי בית-דין:</w:t>
      </w:r>
    </w:p>
    <w:p w14:paraId="4A308C41" w14:textId="77777777" w:rsidR="00F03BD7" w:rsidRPr="00E43432" w:rsidRDefault="00F03BD7" w:rsidP="008D41E9">
      <w:pPr>
        <w:tabs>
          <w:tab w:val="left" w:pos="2726"/>
        </w:tabs>
        <w:ind w:left="2727" w:hanging="2700"/>
        <w:jc w:val="both"/>
        <w:rPr>
          <w:rFonts w:ascii="David" w:hAnsi="David" w:cs="David"/>
          <w:rtl/>
        </w:rPr>
      </w:pPr>
      <w:r w:rsidRPr="00E43432">
        <w:rPr>
          <w:rFonts w:ascii="David" w:hAnsi="David" w:cs="David"/>
          <w:rtl/>
        </w:rPr>
        <w:tab/>
        <w:t>המרכז הרפורמי לדת ומדינה</w:t>
      </w:r>
    </w:p>
    <w:p w14:paraId="43817720" w14:textId="77777777" w:rsidR="00F03BD7" w:rsidRPr="00E43432" w:rsidRDefault="00F03BD7" w:rsidP="008D41E9">
      <w:pPr>
        <w:tabs>
          <w:tab w:val="left" w:pos="2726"/>
        </w:tabs>
        <w:ind w:left="2727" w:hanging="2700"/>
        <w:jc w:val="both"/>
        <w:rPr>
          <w:rFonts w:ascii="David" w:hAnsi="David" w:cs="David"/>
          <w:rtl/>
        </w:rPr>
      </w:pPr>
      <w:r w:rsidRPr="00E43432">
        <w:rPr>
          <w:rFonts w:ascii="David" w:hAnsi="David" w:cs="David"/>
          <w:rtl/>
        </w:rPr>
        <w:tab/>
        <w:t>רחוב דוד המלך 13, ירושלים ת.ד. 31936</w:t>
      </w:r>
    </w:p>
    <w:p w14:paraId="58C3D479" w14:textId="77777777" w:rsidR="00F03BD7" w:rsidRDefault="00F03BD7" w:rsidP="008D41E9">
      <w:pPr>
        <w:tabs>
          <w:tab w:val="left" w:pos="2726"/>
        </w:tabs>
        <w:ind w:left="2727" w:hanging="2700"/>
        <w:jc w:val="both"/>
        <w:rPr>
          <w:rFonts w:ascii="David" w:hAnsi="David" w:cs="David"/>
          <w:rtl/>
        </w:rPr>
      </w:pPr>
      <w:r w:rsidRPr="00E43432">
        <w:rPr>
          <w:rFonts w:ascii="David" w:hAnsi="David" w:cs="David"/>
          <w:rtl/>
        </w:rPr>
        <w:t xml:space="preserve">    </w:t>
      </w:r>
      <w:r w:rsidRPr="00E43432">
        <w:rPr>
          <w:rFonts w:ascii="David" w:hAnsi="David" w:cs="David"/>
          <w:rtl/>
        </w:rPr>
        <w:tab/>
        <w:t xml:space="preserve">טל': 6203323 - 02 פקס: 6256260 </w:t>
      </w:r>
      <w:r w:rsidR="008D41E9">
        <w:rPr>
          <w:rFonts w:ascii="David" w:hAnsi="David" w:cs="David"/>
          <w:rtl/>
        </w:rPr>
        <w:t>–</w:t>
      </w:r>
      <w:r w:rsidRPr="00E43432">
        <w:rPr>
          <w:rFonts w:ascii="David" w:hAnsi="David" w:cs="David"/>
          <w:rtl/>
        </w:rPr>
        <w:t xml:space="preserve"> 02</w:t>
      </w:r>
    </w:p>
    <w:p w14:paraId="6BBB1B98" w14:textId="77777777" w:rsidR="008D41E9" w:rsidRPr="00E43432" w:rsidRDefault="008D41E9" w:rsidP="008D41E9">
      <w:pPr>
        <w:tabs>
          <w:tab w:val="left" w:pos="2726"/>
        </w:tabs>
        <w:ind w:left="2727" w:hanging="2700"/>
        <w:jc w:val="both"/>
        <w:rPr>
          <w:rFonts w:ascii="David" w:hAnsi="David" w:cs="David"/>
          <w:rtl/>
        </w:rPr>
      </w:pPr>
    </w:p>
    <w:p w14:paraId="041E76CE" w14:textId="77777777" w:rsidR="00F03BD7" w:rsidRDefault="008D41E9" w:rsidP="008D41E9">
      <w:pPr>
        <w:rPr>
          <w:rFonts w:ascii="David" w:hAnsi="David" w:cs="David"/>
          <w:rtl/>
        </w:rPr>
      </w:pPr>
      <w:r>
        <w:rPr>
          <w:rFonts w:ascii="David" w:hAnsi="David" w:cs="David"/>
          <w:rtl/>
        </w:rPr>
        <w:tab/>
      </w:r>
      <w:r>
        <w:rPr>
          <w:rFonts w:ascii="David" w:hAnsi="David" w:cs="David"/>
          <w:rtl/>
        </w:rPr>
        <w:tab/>
      </w:r>
      <w:r>
        <w:rPr>
          <w:rFonts w:ascii="David" w:hAnsi="David" w:cs="David"/>
          <w:rtl/>
        </w:rPr>
        <w:tab/>
      </w:r>
      <w:r>
        <w:rPr>
          <w:rFonts w:ascii="David" w:hAnsi="David" w:cs="David" w:hint="cs"/>
          <w:rtl/>
        </w:rPr>
        <w:t xml:space="preserve">        וכן ע"י עו"ד חגי קלעי ו/או אור קרבקי</w:t>
      </w:r>
    </w:p>
    <w:p w14:paraId="1FC0758F" w14:textId="77777777" w:rsidR="008D41E9" w:rsidRDefault="008D41E9" w:rsidP="008D41E9">
      <w:pPr>
        <w:rPr>
          <w:rFonts w:ascii="David" w:hAnsi="David" w:cs="David"/>
          <w:rtl/>
        </w:rPr>
      </w:pPr>
      <w:r>
        <w:rPr>
          <w:rFonts w:ascii="David" w:hAnsi="David" w:cs="David" w:hint="cs"/>
          <w:rtl/>
        </w:rPr>
        <w:t xml:space="preserve">                                                 מקלעי, רוזן ושות' עורכי דין</w:t>
      </w:r>
    </w:p>
    <w:p w14:paraId="356AB5AF" w14:textId="77777777" w:rsidR="008D41E9" w:rsidRDefault="008D41E9" w:rsidP="008D41E9">
      <w:pPr>
        <w:rPr>
          <w:rFonts w:ascii="David" w:hAnsi="David" w:cs="David"/>
          <w:rtl/>
        </w:rPr>
      </w:pPr>
      <w:r>
        <w:rPr>
          <w:rFonts w:ascii="David" w:hAnsi="David" w:cs="David" w:hint="cs"/>
          <w:rtl/>
        </w:rPr>
        <w:t xml:space="preserve">                                                 מרח' מזא"ה 22 תל אביב</w:t>
      </w:r>
    </w:p>
    <w:p w14:paraId="59C8C008" w14:textId="77777777" w:rsidR="008D41E9" w:rsidRPr="00E43432" w:rsidRDefault="008D41E9" w:rsidP="008D41E9">
      <w:pPr>
        <w:rPr>
          <w:rFonts w:ascii="David" w:hAnsi="David" w:cs="David"/>
          <w:rtl/>
        </w:rPr>
      </w:pPr>
      <w:r>
        <w:rPr>
          <w:rFonts w:ascii="David" w:hAnsi="David" w:cs="David" w:hint="cs"/>
          <w:rtl/>
        </w:rPr>
        <w:t xml:space="preserve">                                                טל. 03-9070770 פקס 03-9070771</w:t>
      </w:r>
    </w:p>
    <w:p w14:paraId="057BDB5C" w14:textId="77777777" w:rsidR="008D41E9" w:rsidRDefault="008D41E9" w:rsidP="004F7034">
      <w:pPr>
        <w:spacing w:line="360" w:lineRule="auto"/>
        <w:jc w:val="center"/>
        <w:rPr>
          <w:rFonts w:ascii="David" w:hAnsi="David" w:cs="David"/>
          <w:b/>
          <w:bCs/>
          <w:rtl/>
        </w:rPr>
      </w:pPr>
    </w:p>
    <w:p w14:paraId="7B9B13D6" w14:textId="77777777" w:rsidR="00F03BD7" w:rsidRPr="00E43432" w:rsidRDefault="00F03BD7" w:rsidP="004F7034">
      <w:pPr>
        <w:spacing w:line="360" w:lineRule="auto"/>
        <w:jc w:val="center"/>
        <w:rPr>
          <w:rFonts w:ascii="David" w:hAnsi="David" w:cs="David"/>
          <w:b/>
          <w:bCs/>
          <w:rtl/>
        </w:rPr>
      </w:pPr>
      <w:r w:rsidRPr="00E43432">
        <w:rPr>
          <w:rFonts w:ascii="David" w:hAnsi="David" w:cs="David"/>
          <w:b/>
          <w:bCs/>
          <w:rtl/>
        </w:rPr>
        <w:t>נ ג ד</w:t>
      </w:r>
    </w:p>
    <w:p w14:paraId="0754FA86" w14:textId="77777777" w:rsidR="00F03BD7" w:rsidRPr="00E43432" w:rsidRDefault="00F03BD7" w:rsidP="004F7034">
      <w:pPr>
        <w:spacing w:line="360" w:lineRule="auto"/>
        <w:rPr>
          <w:rFonts w:ascii="David" w:hAnsi="David" w:cs="David"/>
          <w:rtl/>
        </w:rPr>
      </w:pPr>
    </w:p>
    <w:p w14:paraId="621B8ADE" w14:textId="77777777" w:rsidR="00F03BD7" w:rsidRPr="00E43432" w:rsidRDefault="00F03BD7" w:rsidP="008D41E9">
      <w:pPr>
        <w:pStyle w:val="4"/>
        <w:tabs>
          <w:tab w:val="left" w:pos="3626"/>
        </w:tabs>
        <w:spacing w:before="0" w:after="0" w:line="360" w:lineRule="auto"/>
        <w:ind w:left="2727" w:hanging="2699"/>
        <w:rPr>
          <w:rFonts w:ascii="David" w:hAnsi="David" w:cs="David"/>
          <w:sz w:val="24"/>
          <w:szCs w:val="24"/>
          <w:rtl/>
        </w:rPr>
      </w:pPr>
      <w:r w:rsidRPr="00E43432">
        <w:rPr>
          <w:rFonts w:ascii="David" w:hAnsi="David" w:cs="David"/>
          <w:sz w:val="24"/>
          <w:szCs w:val="24"/>
          <w:rtl/>
        </w:rPr>
        <w:t>המשיב</w:t>
      </w:r>
      <w:r w:rsidR="008D41E9">
        <w:rPr>
          <w:rFonts w:ascii="David" w:hAnsi="David" w:cs="David" w:hint="cs"/>
          <w:sz w:val="24"/>
          <w:szCs w:val="24"/>
          <w:rtl/>
        </w:rPr>
        <w:t>ה</w:t>
      </w:r>
      <w:r w:rsidRPr="00E43432">
        <w:rPr>
          <w:rFonts w:ascii="David" w:hAnsi="David" w:cs="David"/>
          <w:sz w:val="24"/>
          <w:szCs w:val="24"/>
          <w:rtl/>
        </w:rPr>
        <w:t>:</w:t>
      </w:r>
      <w:r w:rsidRPr="00E43432">
        <w:rPr>
          <w:rFonts w:ascii="David" w:hAnsi="David" w:cs="David"/>
          <w:sz w:val="24"/>
          <w:szCs w:val="24"/>
          <w:rtl/>
        </w:rPr>
        <w:tab/>
        <w:t xml:space="preserve">עיריית </w:t>
      </w:r>
      <w:r w:rsidR="008D41E9">
        <w:rPr>
          <w:rFonts w:ascii="David" w:hAnsi="David" w:cs="David" w:hint="cs"/>
          <w:sz w:val="24"/>
          <w:szCs w:val="24"/>
          <w:rtl/>
        </w:rPr>
        <w:t>ירושלים</w:t>
      </w:r>
    </w:p>
    <w:p w14:paraId="55AB5C96" w14:textId="77777777" w:rsidR="00E737F9" w:rsidRPr="00E737F9" w:rsidRDefault="00E737F9" w:rsidP="00E737F9">
      <w:pPr>
        <w:tabs>
          <w:tab w:val="left" w:pos="2726"/>
          <w:tab w:val="left" w:pos="3266"/>
        </w:tabs>
        <w:autoSpaceDE/>
        <w:autoSpaceDN/>
        <w:jc w:val="both"/>
        <w:rPr>
          <w:rFonts w:ascii="Arial" w:hAnsi="Arial" w:cs="David"/>
          <w:rtl/>
        </w:rPr>
      </w:pPr>
      <w:r>
        <w:rPr>
          <w:rFonts w:ascii="Arial" w:hAnsi="Arial" w:cs="David"/>
          <w:rtl/>
        </w:rPr>
        <w:tab/>
      </w:r>
      <w:r w:rsidRPr="00E737F9">
        <w:rPr>
          <w:rFonts w:ascii="Arial" w:hAnsi="Arial" w:cs="David"/>
          <w:rtl/>
        </w:rPr>
        <w:t>ע"י היועץ המשפטי לעירייה</w:t>
      </w:r>
    </w:p>
    <w:p w14:paraId="2A0BBC96" w14:textId="77777777" w:rsidR="00E737F9" w:rsidRPr="00E737F9" w:rsidRDefault="00E737F9" w:rsidP="00E737F9">
      <w:pPr>
        <w:tabs>
          <w:tab w:val="left" w:pos="2726"/>
          <w:tab w:val="left" w:pos="3266"/>
        </w:tabs>
        <w:autoSpaceDE/>
        <w:autoSpaceDN/>
        <w:jc w:val="both"/>
        <w:rPr>
          <w:rFonts w:ascii="Arial" w:hAnsi="Arial" w:cs="David"/>
          <w:rtl/>
        </w:rPr>
      </w:pPr>
      <w:r w:rsidRPr="00E737F9">
        <w:rPr>
          <w:rFonts w:ascii="Arial" w:hAnsi="Arial" w:cs="David"/>
          <w:rtl/>
        </w:rPr>
        <w:tab/>
        <w:t>שכתובתו לצורך המצאת כתבי בית-דין:</w:t>
      </w:r>
    </w:p>
    <w:p w14:paraId="1F4E9505" w14:textId="77777777" w:rsidR="00E737F9" w:rsidRPr="00E737F9" w:rsidRDefault="00E737F9" w:rsidP="00E737F9">
      <w:pPr>
        <w:tabs>
          <w:tab w:val="left" w:pos="2726"/>
          <w:tab w:val="left" w:pos="3266"/>
        </w:tabs>
        <w:autoSpaceDE/>
        <w:autoSpaceDN/>
        <w:jc w:val="both"/>
        <w:rPr>
          <w:rFonts w:ascii="Arial" w:hAnsi="Arial" w:cs="David"/>
          <w:rtl/>
        </w:rPr>
      </w:pPr>
      <w:r w:rsidRPr="00E737F9">
        <w:rPr>
          <w:rFonts w:ascii="Arial" w:hAnsi="Arial" w:cs="David"/>
          <w:rtl/>
        </w:rPr>
        <w:tab/>
        <w:t>ככר ספרא 8, ירושלים</w:t>
      </w:r>
    </w:p>
    <w:p w14:paraId="24B7A215" w14:textId="77777777" w:rsidR="00E737F9" w:rsidRPr="00E737F9" w:rsidRDefault="00E737F9" w:rsidP="00E737F9">
      <w:pPr>
        <w:tabs>
          <w:tab w:val="left" w:pos="2726"/>
          <w:tab w:val="left" w:pos="3266"/>
        </w:tabs>
        <w:autoSpaceDE/>
        <w:autoSpaceDN/>
        <w:jc w:val="both"/>
        <w:rPr>
          <w:rFonts w:ascii="Arial" w:hAnsi="Arial" w:cs="David"/>
          <w:b/>
          <w:bCs/>
          <w:rtl/>
        </w:rPr>
      </w:pPr>
      <w:r w:rsidRPr="00E737F9">
        <w:rPr>
          <w:rFonts w:ascii="Arial" w:hAnsi="Arial" w:cs="David"/>
          <w:rtl/>
        </w:rPr>
        <w:tab/>
        <w:t>טל': 6297932 - 02    פקס: 6296490 – 02</w:t>
      </w:r>
    </w:p>
    <w:p w14:paraId="33D1BB1F" w14:textId="77777777" w:rsidR="00E737F9" w:rsidRPr="00E737F9" w:rsidRDefault="00E737F9" w:rsidP="00E737F9">
      <w:pPr>
        <w:tabs>
          <w:tab w:val="left" w:pos="2726"/>
          <w:tab w:val="left" w:pos="3266"/>
        </w:tabs>
        <w:autoSpaceDE/>
        <w:autoSpaceDN/>
        <w:jc w:val="both"/>
        <w:rPr>
          <w:rFonts w:ascii="Arial" w:hAnsi="Arial" w:cs="David"/>
          <w:rtl/>
        </w:rPr>
      </w:pPr>
      <w:r w:rsidRPr="00E737F9">
        <w:rPr>
          <w:rFonts w:ascii="Arial" w:hAnsi="Arial" w:cs="David"/>
          <w:rtl/>
        </w:rPr>
        <w:tab/>
      </w:r>
    </w:p>
    <w:p w14:paraId="100476A5" w14:textId="77777777" w:rsidR="00F03BD7" w:rsidRPr="00E43432" w:rsidRDefault="00F03BD7" w:rsidP="00E36628">
      <w:pPr>
        <w:pStyle w:val="1"/>
        <w:spacing w:before="240" w:after="240" w:line="360" w:lineRule="auto"/>
        <w:jc w:val="center"/>
        <w:rPr>
          <w:rFonts w:ascii="David" w:hAnsi="David" w:cs="David"/>
          <w:sz w:val="36"/>
          <w:szCs w:val="36"/>
          <w:rtl/>
        </w:rPr>
      </w:pPr>
      <w:r w:rsidRPr="00E43432">
        <w:rPr>
          <w:rFonts w:ascii="David" w:hAnsi="David" w:cs="David"/>
          <w:sz w:val="36"/>
          <w:szCs w:val="36"/>
          <w:rtl/>
        </w:rPr>
        <w:t>עתירה מנהלית</w:t>
      </w:r>
    </w:p>
    <w:p w14:paraId="16485E60" w14:textId="3B33384D" w:rsidR="00F03BD7" w:rsidRPr="00E737F9" w:rsidRDefault="00F03BD7" w:rsidP="00AB6DF7">
      <w:pPr>
        <w:spacing w:before="240" w:line="360" w:lineRule="auto"/>
        <w:ind w:left="-58"/>
        <w:jc w:val="both"/>
        <w:rPr>
          <w:rFonts w:ascii="David" w:hAnsi="David" w:cs="David"/>
          <w:rtl/>
        </w:rPr>
      </w:pPr>
      <w:r w:rsidRPr="00E43432">
        <w:rPr>
          <w:rFonts w:ascii="David" w:hAnsi="David" w:cs="David"/>
          <w:rtl/>
        </w:rPr>
        <w:t xml:space="preserve">בית המשפט הנכבד מתבקש בזאת </w:t>
      </w:r>
      <w:r w:rsidR="00AB6DF7">
        <w:rPr>
          <w:rFonts w:ascii="David" w:hAnsi="David" w:cs="David" w:hint="cs"/>
          <w:rtl/>
        </w:rPr>
        <w:t xml:space="preserve">לקבוע כי תנאי הסף שקבעה המשיבה להשתתפות במיזם "מתחתנים בירושלים" </w:t>
      </w:r>
      <w:r w:rsidR="00AB6DF7">
        <w:rPr>
          <w:rFonts w:ascii="David" w:hAnsi="David" w:cs="David"/>
          <w:rtl/>
        </w:rPr>
        <w:t>–</w:t>
      </w:r>
      <w:r w:rsidR="00AB6DF7">
        <w:rPr>
          <w:rFonts w:ascii="David" w:hAnsi="David" w:cs="David" w:hint="cs"/>
          <w:rtl/>
        </w:rPr>
        <w:t xml:space="preserve"> של רישום לנישואים בארץ </w:t>
      </w:r>
      <w:r w:rsidR="00AB6DF7">
        <w:rPr>
          <w:rFonts w:ascii="David" w:hAnsi="David" w:cs="David"/>
          <w:rtl/>
        </w:rPr>
        <w:t>–</w:t>
      </w:r>
      <w:r w:rsidR="00AB6DF7">
        <w:rPr>
          <w:rFonts w:ascii="David" w:hAnsi="David" w:cs="David" w:hint="cs"/>
          <w:rtl/>
        </w:rPr>
        <w:t xml:space="preserve"> בטל, </w:t>
      </w:r>
      <w:r w:rsidR="00B72859">
        <w:rPr>
          <w:rFonts w:ascii="David" w:hAnsi="David" w:cs="David" w:hint="cs"/>
          <w:rtl/>
        </w:rPr>
        <w:t>ו</w:t>
      </w:r>
      <w:r w:rsidRPr="00E43432">
        <w:rPr>
          <w:rFonts w:ascii="David" w:hAnsi="David" w:cs="David"/>
          <w:rtl/>
        </w:rPr>
        <w:t>להורות למשיב</w:t>
      </w:r>
      <w:r w:rsidR="00E737F9">
        <w:rPr>
          <w:rFonts w:ascii="David" w:hAnsi="David" w:cs="David" w:hint="cs"/>
          <w:rtl/>
        </w:rPr>
        <w:t xml:space="preserve">ה לחדול </w:t>
      </w:r>
      <w:r w:rsidR="00FB3CCC">
        <w:rPr>
          <w:rFonts w:ascii="David" w:hAnsi="David" w:cs="David" w:hint="cs"/>
          <w:rtl/>
        </w:rPr>
        <w:t xml:space="preserve">לאלתר </w:t>
      </w:r>
      <w:r w:rsidR="00E737F9">
        <w:rPr>
          <w:rFonts w:ascii="David" w:hAnsi="David" w:cs="David" w:hint="cs"/>
          <w:rtl/>
        </w:rPr>
        <w:t>מאפליית זוגות שנישאים מחוץ לרבנות ו</w:t>
      </w:r>
      <w:r w:rsidR="00E737F9" w:rsidRPr="00E737F9">
        <w:rPr>
          <w:rFonts w:cs="David"/>
          <w:rtl/>
        </w:rPr>
        <w:t xml:space="preserve">לאפשר לכל הזוגות </w:t>
      </w:r>
      <w:r w:rsidR="00E737F9">
        <w:rPr>
          <w:rFonts w:cs="David" w:hint="cs"/>
          <w:rtl/>
        </w:rPr>
        <w:t xml:space="preserve">תושבי ירושלים </w:t>
      </w:r>
      <w:r w:rsidR="00E737F9" w:rsidRPr="00E737F9">
        <w:rPr>
          <w:rFonts w:cs="David"/>
          <w:rtl/>
        </w:rPr>
        <w:t xml:space="preserve">המעוניינים בכך </w:t>
      </w:r>
      <w:r w:rsidR="00AB6DF7">
        <w:rPr>
          <w:rFonts w:cs="David" w:hint="cs"/>
          <w:rtl/>
        </w:rPr>
        <w:t xml:space="preserve">(ובהם העותרים 1-2) </w:t>
      </w:r>
      <w:r w:rsidR="00E737F9" w:rsidRPr="00E737F9">
        <w:rPr>
          <w:rFonts w:cs="David"/>
          <w:rtl/>
        </w:rPr>
        <w:t xml:space="preserve">לקחת חלק במיזם </w:t>
      </w:r>
      <w:r w:rsidR="00E737F9">
        <w:rPr>
          <w:rFonts w:cs="David" w:hint="cs"/>
          <w:rtl/>
        </w:rPr>
        <w:t>"מתחתנים בירושלים"</w:t>
      </w:r>
      <w:r w:rsidR="00AB6DF7">
        <w:rPr>
          <w:rFonts w:cs="David" w:hint="cs"/>
          <w:rtl/>
        </w:rPr>
        <w:t xml:space="preserve"> -</w:t>
      </w:r>
      <w:r w:rsidR="00E737F9">
        <w:rPr>
          <w:rFonts w:cs="David" w:hint="cs"/>
          <w:rtl/>
        </w:rPr>
        <w:t xml:space="preserve"> </w:t>
      </w:r>
      <w:r w:rsidR="00AB6DF7">
        <w:rPr>
          <w:rFonts w:cs="David" w:hint="cs"/>
          <w:rtl/>
        </w:rPr>
        <w:t xml:space="preserve">מיזם המאפשר </w:t>
      </w:r>
      <w:r w:rsidR="00E737F9" w:rsidRPr="00E737F9">
        <w:rPr>
          <w:rFonts w:cs="David"/>
          <w:rtl/>
        </w:rPr>
        <w:t>להינשא במקומות המוצעים על ידי העירייה</w:t>
      </w:r>
      <w:r w:rsidR="00FB3CCC">
        <w:rPr>
          <w:rFonts w:cs="David" w:hint="cs"/>
          <w:rtl/>
        </w:rPr>
        <w:t xml:space="preserve"> ולקבל את "חבילת החתונה" שמציעה העירייה</w:t>
      </w:r>
      <w:r w:rsidR="00E737F9" w:rsidRPr="00E737F9">
        <w:rPr>
          <w:rFonts w:cs="David"/>
          <w:rtl/>
        </w:rPr>
        <w:t>, וזאת ללא קשר לשאל</w:t>
      </w:r>
      <w:r w:rsidR="00E737F9" w:rsidRPr="00E737F9">
        <w:rPr>
          <w:rFonts w:cs="David" w:hint="cs"/>
          <w:rtl/>
        </w:rPr>
        <w:t>ת</w:t>
      </w:r>
      <w:r w:rsidR="00E737F9" w:rsidRPr="00E737F9">
        <w:rPr>
          <w:rFonts w:cs="David"/>
          <w:rtl/>
        </w:rPr>
        <w:t xml:space="preserve"> אופי טקס הנישואין</w:t>
      </w:r>
      <w:r w:rsidR="00E737F9" w:rsidRPr="00E737F9">
        <w:rPr>
          <w:rFonts w:cs="David" w:hint="cs"/>
          <w:rtl/>
        </w:rPr>
        <w:t xml:space="preserve"> וללא כל אפליה </w:t>
      </w:r>
      <w:r w:rsidR="00E737F9">
        <w:rPr>
          <w:rFonts w:cs="David" w:hint="cs"/>
          <w:rtl/>
        </w:rPr>
        <w:t>מטעמי השתייכות דתית, השקפה או נטיה מינית</w:t>
      </w:r>
      <w:r w:rsidR="00AB6DF7">
        <w:rPr>
          <w:rFonts w:cs="David" w:hint="cs"/>
          <w:rtl/>
        </w:rPr>
        <w:t xml:space="preserve">. עוד יתבקש בית המשפט הנכבד להורות למשיבה </w:t>
      </w:r>
      <w:r w:rsidR="00E737F9" w:rsidRPr="00E737F9">
        <w:rPr>
          <w:rFonts w:cs="David" w:hint="cs"/>
          <w:rtl/>
        </w:rPr>
        <w:t xml:space="preserve">ליידע את הציבור על </w:t>
      </w:r>
      <w:r w:rsidR="00FB3CCC">
        <w:rPr>
          <w:rFonts w:cs="David" w:hint="cs"/>
          <w:rtl/>
        </w:rPr>
        <w:t>ביטול האפליה</w:t>
      </w:r>
      <w:r w:rsidR="00E737F9" w:rsidRPr="00E737F9">
        <w:rPr>
          <w:rFonts w:cs="David" w:hint="cs"/>
          <w:rtl/>
        </w:rPr>
        <w:t xml:space="preserve"> בכל האמצעים בהם פורסם המיזם</w:t>
      </w:r>
      <w:r w:rsidR="00FB3CCC">
        <w:rPr>
          <w:rFonts w:cs="David" w:hint="cs"/>
          <w:rtl/>
        </w:rPr>
        <w:t>.</w:t>
      </w:r>
    </w:p>
    <w:p w14:paraId="74802311" w14:textId="77777777" w:rsidR="00AB6DF7" w:rsidRDefault="00AB6DF7" w:rsidP="00E36628">
      <w:pPr>
        <w:spacing w:before="240" w:after="240" w:line="360" w:lineRule="auto"/>
        <w:jc w:val="both"/>
        <w:rPr>
          <w:rFonts w:ascii="David" w:hAnsi="David" w:cs="David"/>
          <w:b/>
          <w:bCs/>
          <w:sz w:val="32"/>
          <w:szCs w:val="32"/>
          <w:u w:val="single"/>
          <w:rtl/>
        </w:rPr>
      </w:pPr>
    </w:p>
    <w:p w14:paraId="715958D2" w14:textId="57AFB874" w:rsidR="00EC255F" w:rsidRDefault="00E737F9" w:rsidP="00E36628">
      <w:pPr>
        <w:spacing w:before="240" w:after="240" w:line="360" w:lineRule="auto"/>
        <w:jc w:val="both"/>
        <w:rPr>
          <w:rFonts w:ascii="David" w:hAnsi="David" w:cs="David"/>
          <w:b/>
          <w:bCs/>
          <w:sz w:val="32"/>
          <w:szCs w:val="32"/>
          <w:u w:val="single"/>
          <w:rtl/>
        </w:rPr>
      </w:pPr>
      <w:r>
        <w:rPr>
          <w:rFonts w:ascii="David" w:hAnsi="David" w:cs="David" w:hint="cs"/>
          <w:b/>
          <w:bCs/>
          <w:sz w:val="32"/>
          <w:szCs w:val="32"/>
          <w:u w:val="single"/>
          <w:rtl/>
        </w:rPr>
        <w:t>בקשה לדיון דחוף</w:t>
      </w:r>
    </w:p>
    <w:p w14:paraId="0BB1693A" w14:textId="21C288A0" w:rsidR="00E737F9" w:rsidRDefault="00E737F9" w:rsidP="00670310">
      <w:pPr>
        <w:spacing w:before="240" w:after="240" w:line="360" w:lineRule="auto"/>
        <w:jc w:val="both"/>
        <w:rPr>
          <w:rFonts w:ascii="David" w:hAnsi="David" w:cs="David"/>
          <w:rtl/>
        </w:rPr>
      </w:pPr>
      <w:r>
        <w:rPr>
          <w:rFonts w:ascii="David" w:hAnsi="David" w:cs="David" w:hint="cs"/>
          <w:rtl/>
        </w:rPr>
        <w:t>המיזם אמור להתקיים החל מ</w:t>
      </w:r>
      <w:r w:rsidR="00B47001">
        <w:rPr>
          <w:rFonts w:ascii="David" w:hAnsi="David" w:cs="David" w:hint="cs"/>
          <w:rtl/>
        </w:rPr>
        <w:t>ה</w:t>
      </w:r>
      <w:r>
        <w:rPr>
          <w:rFonts w:ascii="David" w:hAnsi="David" w:cs="David" w:hint="cs"/>
          <w:rtl/>
        </w:rPr>
        <w:t xml:space="preserve">יום 2.8.20 ועד </w:t>
      </w:r>
      <w:r w:rsidRPr="00B72859">
        <w:rPr>
          <w:rFonts w:ascii="David" w:hAnsi="David" w:cs="David" w:hint="cs"/>
          <w:rtl/>
        </w:rPr>
        <w:t>ל</w:t>
      </w:r>
      <w:r w:rsidR="00670310" w:rsidRPr="00B72859">
        <w:rPr>
          <w:rFonts w:ascii="David" w:hAnsi="David" w:cs="David" w:hint="cs"/>
          <w:rtl/>
        </w:rPr>
        <w:t>ערב ראש השנה (שחל ביום 18.9.20)</w:t>
      </w:r>
      <w:r w:rsidRPr="00B72859">
        <w:rPr>
          <w:rFonts w:ascii="David" w:hAnsi="David" w:cs="David" w:hint="cs"/>
          <w:rtl/>
        </w:rPr>
        <w:t>. על מנת</w:t>
      </w:r>
      <w:r>
        <w:rPr>
          <w:rFonts w:ascii="David" w:hAnsi="David" w:cs="David" w:hint="cs"/>
          <w:rtl/>
        </w:rPr>
        <w:t xml:space="preserve"> שלא לייתר את הסעד המבוקש בעתירה, </w:t>
      </w:r>
      <w:r w:rsidR="00FB3CCC">
        <w:rPr>
          <w:rFonts w:ascii="David" w:hAnsi="David" w:cs="David" w:hint="cs"/>
          <w:rtl/>
        </w:rPr>
        <w:t xml:space="preserve">ועל מנת למנוע מצב בו כל המועדים בהם מאפשרת המשיבה לקיים טקסי נישואים במסגרת המיזם ייתפסו על ידי זוגות הטרוסקסואליים הנישאים ברבנות. </w:t>
      </w:r>
      <w:r>
        <w:rPr>
          <w:rFonts w:ascii="David" w:hAnsi="David" w:cs="David" w:hint="cs"/>
          <w:rtl/>
        </w:rPr>
        <w:t>מתבקש בית המשפט הנכבד לקבוע דיון דחוף בעתירה.</w:t>
      </w:r>
    </w:p>
    <w:p w14:paraId="667DFF11" w14:textId="555AB9B1" w:rsidR="0066704F" w:rsidRDefault="0066704F" w:rsidP="00E36628">
      <w:pPr>
        <w:spacing w:before="240" w:after="240" w:line="360" w:lineRule="auto"/>
        <w:jc w:val="both"/>
        <w:rPr>
          <w:rFonts w:ascii="David" w:hAnsi="David" w:cs="David"/>
          <w:rtl/>
        </w:rPr>
      </w:pPr>
      <w:r>
        <w:rPr>
          <w:rFonts w:ascii="David" w:hAnsi="David" w:cs="David" w:hint="cs"/>
          <w:rtl/>
        </w:rPr>
        <w:t>עוד מתבקש בית המשפט הנכבד להורות כי המשיבה תגיש כתב תשובה לעתירה</w:t>
      </w:r>
      <w:r w:rsidR="00B7208D">
        <w:rPr>
          <w:rFonts w:ascii="David" w:hAnsi="David" w:cs="David" w:hint="cs"/>
          <w:rtl/>
        </w:rPr>
        <w:t xml:space="preserve"> בהקדם</w:t>
      </w:r>
      <w:r>
        <w:rPr>
          <w:rFonts w:ascii="David" w:hAnsi="David" w:cs="David" w:hint="cs"/>
          <w:rtl/>
        </w:rPr>
        <w:t xml:space="preserve">, על מנת שתתאפשר ההכרעה בעתירה לגופה בזמן שהיא עוד רלבנטית. </w:t>
      </w:r>
    </w:p>
    <w:p w14:paraId="4C42633D" w14:textId="4E1A0AF3" w:rsidR="0066704F" w:rsidRPr="00E737F9" w:rsidRDefault="0066704F" w:rsidP="00E36628">
      <w:pPr>
        <w:spacing w:before="240" w:after="240" w:line="360" w:lineRule="auto"/>
        <w:jc w:val="both"/>
        <w:rPr>
          <w:rFonts w:ascii="David" w:hAnsi="David" w:cs="David"/>
          <w:rtl/>
        </w:rPr>
      </w:pPr>
      <w:r>
        <w:rPr>
          <w:rFonts w:ascii="David" w:hAnsi="David" w:cs="David" w:hint="cs"/>
          <w:rtl/>
        </w:rPr>
        <w:t xml:space="preserve">נציין, בהקשר זה, כי סד הזמנים הדוחק נוצר בשל החלטת המשיבה לפרסם את המיזם כשבועיים בלבד לפני הוצאתו לפועל, ולהשיב לפניות המקדימות אליה ימים בודדים לפני תחילת הפעלת המיזם. </w:t>
      </w:r>
    </w:p>
    <w:p w14:paraId="301E9024" w14:textId="77777777" w:rsidR="00F03BD7" w:rsidRPr="00E43432" w:rsidRDefault="006A0D78" w:rsidP="00E36628">
      <w:pPr>
        <w:spacing w:before="240" w:after="240" w:line="360" w:lineRule="auto"/>
        <w:jc w:val="both"/>
        <w:rPr>
          <w:rFonts w:ascii="David" w:hAnsi="David" w:cs="David"/>
          <w:b/>
          <w:bCs/>
          <w:sz w:val="32"/>
          <w:szCs w:val="32"/>
          <w:u w:val="single"/>
          <w:rtl/>
        </w:rPr>
      </w:pPr>
      <w:r w:rsidRPr="00E43432">
        <w:rPr>
          <w:rFonts w:ascii="David" w:hAnsi="David" w:cs="David"/>
          <w:b/>
          <w:bCs/>
          <w:sz w:val="32"/>
          <w:szCs w:val="32"/>
          <w:u w:val="single"/>
          <w:rtl/>
        </w:rPr>
        <w:t>מבוא</w:t>
      </w:r>
    </w:p>
    <w:p w14:paraId="1F8C8627" w14:textId="77777777" w:rsidR="00E737F9" w:rsidRPr="00E737F9" w:rsidRDefault="00E737F9" w:rsidP="00E737F9">
      <w:pPr>
        <w:numPr>
          <w:ilvl w:val="0"/>
          <w:numId w:val="4"/>
        </w:numPr>
        <w:autoSpaceDE/>
        <w:autoSpaceDN/>
        <w:spacing w:before="240" w:after="120" w:line="360" w:lineRule="auto"/>
        <w:jc w:val="both"/>
        <w:rPr>
          <w:rFonts w:ascii="David" w:hAnsi="David" w:cs="David"/>
        </w:rPr>
      </w:pPr>
      <w:r w:rsidRPr="00E737F9">
        <w:rPr>
          <w:rFonts w:cs="David" w:hint="cs"/>
          <w:rtl/>
        </w:rPr>
        <w:t>לאחרונה, פורסם כי המשיבה יצאה במיזם "מתחתנים בירושלים", במסגרתו בשל התפרצות נגיף הקורונה והמגבלות שחלות על קיום אירועים רבי משתתפים ומאחר שאולמות האירועים סגורים ולא ניתן להינשא בהם, העירייה פותחת בפני זוגות ירושלמים את האפשרות לערוך חתונה בהיקף מצומצם בהתאם להנחיות משרד הבריאות, באחד מהפארקים או באתרי תיירות הפתוחים לציבור</w:t>
      </w:r>
      <w:r w:rsidR="00FB3CCC">
        <w:rPr>
          <w:rFonts w:cs="David" w:hint="cs"/>
          <w:rtl/>
        </w:rPr>
        <w:t>, תוך שהמשיבה מספקת לזוגות "חבילת חתונה" מכספי ציבור</w:t>
      </w:r>
      <w:r>
        <w:rPr>
          <w:rFonts w:cs="David" w:hint="cs"/>
          <w:rtl/>
        </w:rPr>
        <w:t xml:space="preserve">. </w:t>
      </w:r>
    </w:p>
    <w:p w14:paraId="6D034E2C" w14:textId="6F5CC2F5" w:rsidR="00707A96" w:rsidRPr="00707A96" w:rsidRDefault="00E737F9" w:rsidP="00FB3CCC">
      <w:pPr>
        <w:numPr>
          <w:ilvl w:val="0"/>
          <w:numId w:val="4"/>
        </w:numPr>
        <w:autoSpaceDE/>
        <w:autoSpaceDN/>
        <w:spacing w:before="240" w:after="120" w:line="360" w:lineRule="auto"/>
        <w:jc w:val="both"/>
        <w:rPr>
          <w:rFonts w:ascii="David" w:hAnsi="David" w:cs="David"/>
        </w:rPr>
      </w:pPr>
      <w:r w:rsidRPr="00707A96">
        <w:rPr>
          <w:rFonts w:cs="David" w:hint="cs"/>
          <w:rtl/>
        </w:rPr>
        <w:t xml:space="preserve">זוהי יוזמה </w:t>
      </w:r>
      <w:r w:rsidR="00FB3CCC">
        <w:rPr>
          <w:rFonts w:cs="David" w:hint="cs"/>
          <w:rtl/>
        </w:rPr>
        <w:t>מבורכת</w:t>
      </w:r>
      <w:r w:rsidRPr="00707A96">
        <w:rPr>
          <w:rFonts w:cs="David" w:hint="cs"/>
          <w:rtl/>
        </w:rPr>
        <w:t xml:space="preserve">, שפועלת גם ברשויות מקומיות נוספות (כגון גבעתיים והוד השרון) אולם שלא כברשויות מקומיות אחרות, המשיבה מאפשרת השתתפות במיזם רק לזוגות שנרשמו לנישואים בארץ </w:t>
      </w:r>
      <w:r w:rsidRPr="00707A96">
        <w:rPr>
          <w:rFonts w:cs="David"/>
          <w:rtl/>
        </w:rPr>
        <w:t>–</w:t>
      </w:r>
      <w:r w:rsidRPr="00707A96">
        <w:rPr>
          <w:rFonts w:cs="David" w:hint="cs"/>
          <w:rtl/>
        </w:rPr>
        <w:t xml:space="preserve"> דהיינו רק זוגות </w:t>
      </w:r>
      <w:r w:rsidR="00FB3CCC">
        <w:rPr>
          <w:rFonts w:cs="David" w:hint="cs"/>
          <w:rtl/>
        </w:rPr>
        <w:t xml:space="preserve">הטרוסקסואליים </w:t>
      </w:r>
      <w:r w:rsidRPr="00707A96">
        <w:rPr>
          <w:rFonts w:cs="David" w:hint="cs"/>
          <w:rtl/>
        </w:rPr>
        <w:t>שנישאים ב</w:t>
      </w:r>
      <w:r w:rsidR="00FB3CCC">
        <w:rPr>
          <w:rFonts w:cs="David" w:hint="cs"/>
          <w:rtl/>
        </w:rPr>
        <w:t>נישואים אורתודוכסים ב</w:t>
      </w:r>
      <w:r w:rsidRPr="00707A96">
        <w:rPr>
          <w:rFonts w:cs="David" w:hint="cs"/>
          <w:rtl/>
        </w:rPr>
        <w:t xml:space="preserve">אמצעות הרבנות. </w:t>
      </w:r>
      <w:r w:rsidR="00707A96" w:rsidRPr="00707A96">
        <w:rPr>
          <w:rFonts w:cs="David" w:hint="cs"/>
          <w:rtl/>
        </w:rPr>
        <w:t xml:space="preserve">דרישה זו מדירה זוגות </w:t>
      </w:r>
      <w:r w:rsidR="00707A96">
        <w:rPr>
          <w:rFonts w:cs="David" w:hint="cs"/>
          <w:rtl/>
        </w:rPr>
        <w:t xml:space="preserve">שאין להם כל אפשרות להינשא בארץ, כגון זוגות </w:t>
      </w:r>
      <w:r w:rsidR="00707A96" w:rsidRPr="00707A96">
        <w:rPr>
          <w:rFonts w:cs="David" w:hint="cs"/>
          <w:rtl/>
        </w:rPr>
        <w:t>להט"ב, חסרי סיווג דתי</w:t>
      </w:r>
      <w:r w:rsidR="00707A96">
        <w:rPr>
          <w:rFonts w:cs="David" w:hint="cs"/>
          <w:rtl/>
        </w:rPr>
        <w:t xml:space="preserve"> או</w:t>
      </w:r>
      <w:r w:rsidR="00707A96" w:rsidRPr="00707A96">
        <w:rPr>
          <w:rFonts w:cs="David" w:hint="cs"/>
          <w:rtl/>
        </w:rPr>
        <w:t xml:space="preserve"> יהודים שיהדותם לא מוכרת על ידי הרבנות </w:t>
      </w:r>
      <w:r w:rsidR="00FB3CCC">
        <w:rPr>
          <w:rFonts w:cs="David" w:hint="cs"/>
          <w:rtl/>
        </w:rPr>
        <w:t>כמו</w:t>
      </w:r>
      <w:r w:rsidR="00707A96" w:rsidRPr="00707A96">
        <w:rPr>
          <w:rFonts w:cs="David" w:hint="cs"/>
          <w:rtl/>
        </w:rPr>
        <w:t xml:space="preserve"> גרים לא אורתודוכסיים, </w:t>
      </w:r>
      <w:r w:rsidR="00707A96">
        <w:rPr>
          <w:rFonts w:cs="David" w:hint="cs"/>
          <w:rtl/>
        </w:rPr>
        <w:t xml:space="preserve">והיא מדירה אף זוגות </w:t>
      </w:r>
      <w:r w:rsidR="00707A96" w:rsidRPr="00707A96">
        <w:rPr>
          <w:rFonts w:cs="David" w:hint="cs"/>
          <w:rtl/>
        </w:rPr>
        <w:t>שבוחרים להינשא מחוץ לרבנות בשל השקפת עולמם</w:t>
      </w:r>
      <w:r w:rsidR="00B7208D">
        <w:rPr>
          <w:rFonts w:cs="David" w:hint="cs"/>
          <w:rtl/>
        </w:rPr>
        <w:t>, כגון העותרים 1-2</w:t>
      </w:r>
      <w:r w:rsidR="00707A96">
        <w:rPr>
          <w:rFonts w:cs="David" w:hint="cs"/>
          <w:rtl/>
        </w:rPr>
        <w:t>. בכך פועלת המשיבה באפליה חמורה, שיש בה פגיעה קשה בחופש הדת של זוגות אלה.</w:t>
      </w:r>
    </w:p>
    <w:p w14:paraId="2B694BFD" w14:textId="779829B4" w:rsidR="00215DC0" w:rsidRPr="00B72859" w:rsidRDefault="00215DC0" w:rsidP="00B72859">
      <w:pPr>
        <w:numPr>
          <w:ilvl w:val="0"/>
          <w:numId w:val="4"/>
        </w:numPr>
        <w:autoSpaceDE/>
        <w:autoSpaceDN/>
        <w:spacing w:before="240" w:after="120" w:line="360" w:lineRule="auto"/>
        <w:jc w:val="both"/>
        <w:rPr>
          <w:rFonts w:ascii="David" w:hAnsi="David" w:cs="David"/>
          <w:rtl/>
        </w:rPr>
      </w:pPr>
      <w:r>
        <w:rPr>
          <w:rFonts w:ascii="David" w:hAnsi="David" w:cs="David" w:hint="cs"/>
          <w:rtl/>
        </w:rPr>
        <w:t xml:space="preserve">נזכיר בהקשר זה </w:t>
      </w:r>
      <w:r>
        <w:rPr>
          <w:rFonts w:ascii="David" w:hAnsi="David" w:cs="David"/>
          <w:rtl/>
        </w:rPr>
        <w:t>–</w:t>
      </w:r>
      <w:r>
        <w:rPr>
          <w:rFonts w:ascii="David" w:hAnsi="David" w:cs="David" w:hint="cs"/>
          <w:rtl/>
        </w:rPr>
        <w:t xml:space="preserve"> מי שמעוניין להירשם </w:t>
      </w:r>
      <w:r w:rsidR="00B7208D">
        <w:rPr>
          <w:rFonts w:ascii="David" w:hAnsi="David" w:cs="David" w:hint="cs"/>
          <w:rtl/>
        </w:rPr>
        <w:t xml:space="preserve">לנישואים </w:t>
      </w:r>
      <w:r>
        <w:rPr>
          <w:rFonts w:ascii="David" w:hAnsi="David" w:cs="David" w:hint="cs"/>
          <w:rtl/>
        </w:rPr>
        <w:t>ברבנות אינו נדרש ל</w:t>
      </w:r>
      <w:r w:rsidR="00B7208D">
        <w:rPr>
          <w:rFonts w:ascii="David" w:hAnsi="David" w:cs="David" w:hint="cs"/>
          <w:rtl/>
        </w:rPr>
        <w:t xml:space="preserve">קיים </w:t>
      </w:r>
      <w:r>
        <w:rPr>
          <w:rFonts w:ascii="David" w:hAnsi="David" w:cs="David" w:hint="cs"/>
          <w:rtl/>
        </w:rPr>
        <w:t>טקס בהשתתפות אורחים לשם כך, ויכול לגשת למשרדי הרבנות בלווי</w:t>
      </w:r>
      <w:r w:rsidR="00B7208D">
        <w:rPr>
          <w:rFonts w:ascii="David" w:hAnsi="David" w:cs="David" w:hint="cs"/>
          <w:rtl/>
        </w:rPr>
        <w:t>י</w:t>
      </w:r>
      <w:r>
        <w:rPr>
          <w:rFonts w:ascii="David" w:hAnsi="David" w:cs="David" w:hint="cs"/>
          <w:rtl/>
        </w:rPr>
        <w:t xml:space="preserve">ת שני עדים ולהירשם כנשוי. טקס החופה והקידושין הוא </w:t>
      </w:r>
      <w:r w:rsidR="00B72859">
        <w:rPr>
          <w:rFonts w:ascii="David" w:hAnsi="David" w:cs="David" w:hint="cs"/>
          <w:rtl/>
        </w:rPr>
        <w:t>ארוע הנחגג בלוויית משפחה וחברים</w:t>
      </w:r>
      <w:r w:rsidR="003A4DA4">
        <w:rPr>
          <w:rFonts w:ascii="David" w:hAnsi="David" w:cs="David" w:hint="cs"/>
          <w:rtl/>
        </w:rPr>
        <w:t>, המציי</w:t>
      </w:r>
      <w:r w:rsidR="00B72859">
        <w:rPr>
          <w:rFonts w:ascii="David" w:hAnsi="David" w:cs="David" w:hint="cs"/>
          <w:rtl/>
        </w:rPr>
        <w:t>ן</w:t>
      </w:r>
      <w:r w:rsidR="003A4DA4">
        <w:rPr>
          <w:rFonts w:ascii="David" w:hAnsi="David" w:cs="David" w:hint="cs"/>
          <w:rtl/>
        </w:rPr>
        <w:t xml:space="preserve"> את רצונם של בני הזוג להביע את מחויבותם ההדדית בפני קהילתם.</w:t>
      </w:r>
    </w:p>
    <w:p w14:paraId="32DADD2E" w14:textId="47FC0C1B" w:rsidR="00707A96" w:rsidRPr="00707A96" w:rsidRDefault="00707A96" w:rsidP="00FB3CCC">
      <w:pPr>
        <w:numPr>
          <w:ilvl w:val="0"/>
          <w:numId w:val="4"/>
        </w:numPr>
        <w:autoSpaceDE/>
        <w:autoSpaceDN/>
        <w:spacing w:before="240" w:after="120" w:line="360" w:lineRule="auto"/>
        <w:jc w:val="both"/>
        <w:rPr>
          <w:rFonts w:ascii="David" w:hAnsi="David" w:cs="David"/>
        </w:rPr>
      </w:pPr>
      <w:r>
        <w:rPr>
          <w:rFonts w:cs="David" w:hint="cs"/>
          <w:rtl/>
        </w:rPr>
        <w:t xml:space="preserve">פניות העותרות למשיבה לשנות את מדיניותה לא נענו, ובשל </w:t>
      </w:r>
      <w:r w:rsidR="00FB3CCC">
        <w:rPr>
          <w:rFonts w:cs="David" w:hint="cs"/>
          <w:rtl/>
        </w:rPr>
        <w:t>לוח</w:t>
      </w:r>
      <w:r>
        <w:rPr>
          <w:rFonts w:cs="David" w:hint="cs"/>
          <w:rtl/>
        </w:rPr>
        <w:t xml:space="preserve"> הזמנים </w:t>
      </w:r>
      <w:r w:rsidR="00FB3CCC">
        <w:rPr>
          <w:rFonts w:cs="David" w:hint="cs"/>
          <w:rtl/>
        </w:rPr>
        <w:t xml:space="preserve">הדוחק, </w:t>
      </w:r>
      <w:r>
        <w:rPr>
          <w:rFonts w:cs="David" w:hint="cs"/>
          <w:rtl/>
        </w:rPr>
        <w:t xml:space="preserve">נאלצות העותרות לפנות לבית המשפט הנכבד, על מנת שיורה למשיבה לפעול כחוק. </w:t>
      </w:r>
    </w:p>
    <w:p w14:paraId="1163F678" w14:textId="77777777" w:rsidR="00F03BD7" w:rsidRPr="00E43432" w:rsidRDefault="00F03BD7" w:rsidP="00E36628">
      <w:pPr>
        <w:spacing w:before="240" w:after="240" w:line="360" w:lineRule="auto"/>
        <w:jc w:val="both"/>
        <w:rPr>
          <w:rFonts w:ascii="David" w:hAnsi="David" w:cs="David"/>
          <w:b/>
          <w:bCs/>
          <w:sz w:val="32"/>
          <w:szCs w:val="32"/>
          <w:u w:val="single"/>
          <w:rtl/>
        </w:rPr>
      </w:pPr>
      <w:r w:rsidRPr="00E43432">
        <w:rPr>
          <w:rFonts w:ascii="David" w:hAnsi="David" w:cs="David"/>
          <w:b/>
          <w:bCs/>
          <w:sz w:val="32"/>
          <w:szCs w:val="32"/>
          <w:u w:val="single"/>
          <w:rtl/>
        </w:rPr>
        <w:lastRenderedPageBreak/>
        <w:t>הצדדים לעתירה</w:t>
      </w:r>
    </w:p>
    <w:p w14:paraId="5CF4CCD0" w14:textId="617296FB" w:rsidR="00B7208D" w:rsidRPr="00B72859" w:rsidRDefault="00B7208D" w:rsidP="000745B4">
      <w:pPr>
        <w:numPr>
          <w:ilvl w:val="0"/>
          <w:numId w:val="4"/>
        </w:numPr>
        <w:shd w:val="clear" w:color="auto" w:fill="FFFFFF"/>
        <w:tabs>
          <w:tab w:val="num" w:pos="540"/>
        </w:tabs>
        <w:autoSpaceDE/>
        <w:autoSpaceDN/>
        <w:spacing w:before="240" w:after="240" w:line="360" w:lineRule="auto"/>
        <w:jc w:val="both"/>
        <w:rPr>
          <w:rFonts w:asciiTheme="minorHAnsi" w:eastAsiaTheme="minorEastAsia" w:hAnsiTheme="minorHAnsi" w:cs="David"/>
          <w:lang w:eastAsia="en-US"/>
        </w:rPr>
      </w:pPr>
      <w:r>
        <w:rPr>
          <w:rFonts w:asciiTheme="minorHAnsi" w:eastAsiaTheme="minorEastAsia" w:hAnsiTheme="minorHAnsi" w:cs="David" w:hint="cs"/>
          <w:rtl/>
          <w:lang w:eastAsia="en-US"/>
        </w:rPr>
        <w:t xml:space="preserve">העותרים 1-2 הינם </w:t>
      </w:r>
      <w:r w:rsidR="00F863CE">
        <w:rPr>
          <w:rFonts w:asciiTheme="minorHAnsi" w:eastAsiaTheme="minorEastAsia" w:hAnsiTheme="minorHAnsi" w:cs="David" w:hint="cs"/>
          <w:rtl/>
          <w:lang w:eastAsia="en-US"/>
        </w:rPr>
        <w:t xml:space="preserve">תושבי ירושלים, </w:t>
      </w:r>
      <w:r>
        <w:rPr>
          <w:rFonts w:asciiTheme="minorHAnsi" w:eastAsiaTheme="minorEastAsia" w:hAnsiTheme="minorHAnsi" w:cs="David" w:hint="cs"/>
          <w:rtl/>
          <w:lang w:eastAsia="en-US"/>
        </w:rPr>
        <w:t>בני זוג שאמורים היו להינשא בחתונה רפורמית ביום 16.7.20, אלא שחתונתם נדחתה בשל העדר מקום לקיים את החתונה נוכח מגבלות הקורונה. העותרים מעוניינים לקחת חלק במיזם של המשיבה אולם אינם יכולים לעשות כן שכן הם לא נישאים דרך הרבנות ולפיכך אינם יכולים להירשם לנישואים בארץ.</w:t>
      </w:r>
    </w:p>
    <w:p w14:paraId="42F31B62" w14:textId="4D0AFA05" w:rsidR="000745B4" w:rsidRPr="000745B4" w:rsidRDefault="00F03BD7" w:rsidP="007757C7">
      <w:pPr>
        <w:numPr>
          <w:ilvl w:val="0"/>
          <w:numId w:val="4"/>
        </w:numPr>
        <w:shd w:val="clear" w:color="auto" w:fill="FFFFFF"/>
        <w:tabs>
          <w:tab w:val="num" w:pos="540"/>
        </w:tabs>
        <w:autoSpaceDE/>
        <w:autoSpaceDN/>
        <w:spacing w:before="240" w:after="240" w:line="360" w:lineRule="auto"/>
        <w:jc w:val="both"/>
        <w:rPr>
          <w:rFonts w:asciiTheme="minorHAnsi" w:eastAsiaTheme="minorEastAsia" w:hAnsiTheme="minorHAnsi" w:cs="David"/>
          <w:lang w:eastAsia="en-US"/>
        </w:rPr>
      </w:pPr>
      <w:r w:rsidRPr="000745B4">
        <w:rPr>
          <w:rFonts w:ascii="David" w:hAnsi="David" w:cs="David"/>
          <w:rtl/>
        </w:rPr>
        <w:t>העותרת</w:t>
      </w:r>
      <w:r w:rsidR="000745B4">
        <w:rPr>
          <w:rFonts w:ascii="David" w:hAnsi="David" w:cs="David"/>
          <w:rtl/>
        </w:rPr>
        <w:t xml:space="preserve"> </w:t>
      </w:r>
      <w:r w:rsidR="00B7208D">
        <w:rPr>
          <w:rFonts w:ascii="David" w:hAnsi="David" w:cs="David" w:hint="cs"/>
          <w:rtl/>
        </w:rPr>
        <w:t>3</w:t>
      </w:r>
      <w:r w:rsidR="000745B4">
        <w:rPr>
          <w:rFonts w:ascii="David" w:hAnsi="David" w:cs="David" w:hint="cs"/>
          <w:rtl/>
        </w:rPr>
        <w:t xml:space="preserve"> הינה </w:t>
      </w:r>
      <w:r w:rsidR="000745B4" w:rsidRPr="000745B4">
        <w:rPr>
          <w:rFonts w:asciiTheme="minorHAnsi" w:eastAsiaTheme="minorEastAsia" w:hAnsiTheme="minorHAnsi" w:cs="David" w:hint="eastAsia"/>
          <w:rtl/>
          <w:lang w:eastAsia="en-US"/>
        </w:rPr>
        <w:t>עמותה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המאגדת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את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מוסדותיה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וקהילותיה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של</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היהדות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המתקדמת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רפורמית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בישראל</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לתנועה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כ</w:t>
      </w:r>
      <w:r w:rsidR="000745B4" w:rsidRPr="000745B4">
        <w:rPr>
          <w:rFonts w:asciiTheme="minorHAnsi" w:eastAsiaTheme="minorEastAsia" w:hAnsiTheme="minorHAnsi" w:cs="David"/>
          <w:rtl/>
          <w:lang w:eastAsia="en-US"/>
        </w:rPr>
        <w:t xml:space="preserve">-50 </w:t>
      </w:r>
      <w:r w:rsidR="000745B4" w:rsidRPr="000745B4">
        <w:rPr>
          <w:rFonts w:asciiTheme="minorHAnsi" w:eastAsiaTheme="minorEastAsia" w:hAnsiTheme="minorHAnsi" w:cs="David" w:hint="eastAsia"/>
          <w:rtl/>
          <w:lang w:eastAsia="en-US"/>
        </w:rPr>
        <w:t>קהילות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מוסדות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חינוך</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פעילות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נוער</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פעילות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למען</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צדק</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חברתי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והתאגדויות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יישוביות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ברחבי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הארץ</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התנועה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מציעה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שרותי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דת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ברוח</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היהדות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הרפורמית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וביניהן</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גם</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טקסי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נישואין</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שוויוניים</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רבני</w:t>
      </w:r>
      <w:r w:rsidR="000745B4" w:rsidRPr="000745B4">
        <w:rPr>
          <w:rFonts w:asciiTheme="minorHAnsi" w:eastAsiaTheme="minorEastAsia" w:hAnsiTheme="minorHAnsi" w:cs="David"/>
          <w:rtl/>
          <w:lang w:eastAsia="en-US"/>
        </w:rPr>
        <w:t xml:space="preserve"> </w:t>
      </w:r>
      <w:r w:rsidR="000745B4">
        <w:rPr>
          <w:rFonts w:asciiTheme="minorHAnsi" w:eastAsiaTheme="minorEastAsia" w:hAnsiTheme="minorHAnsi" w:cs="David" w:hint="cs"/>
          <w:rtl/>
          <w:lang w:eastAsia="en-US"/>
        </w:rPr>
        <w:t>העותרת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עורכים</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מדי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שנה</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מאות</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טקסי</w:t>
      </w:r>
      <w:r w:rsidR="000745B4" w:rsidRPr="000745B4">
        <w:rPr>
          <w:rFonts w:asciiTheme="minorHAnsi" w:eastAsiaTheme="minorEastAsia" w:hAnsiTheme="minorHAnsi" w:cs="David"/>
          <w:rtl/>
          <w:lang w:eastAsia="en-US"/>
        </w:rPr>
        <w:t xml:space="preserve"> </w:t>
      </w:r>
      <w:r w:rsidR="000745B4" w:rsidRPr="000745B4">
        <w:rPr>
          <w:rFonts w:asciiTheme="minorHAnsi" w:eastAsiaTheme="minorEastAsia" w:hAnsiTheme="minorHAnsi" w:cs="David" w:hint="eastAsia"/>
          <w:rtl/>
          <w:lang w:eastAsia="en-US"/>
        </w:rPr>
        <w:t>נישואין</w:t>
      </w:r>
      <w:r w:rsidR="000745B4">
        <w:rPr>
          <w:rFonts w:asciiTheme="minorHAnsi" w:eastAsiaTheme="minorEastAsia" w:hAnsiTheme="minorHAnsi" w:cs="David" w:hint="cs"/>
          <w:rtl/>
          <w:lang w:eastAsia="en-US"/>
        </w:rPr>
        <w:t xml:space="preserve"> לזוגות שאינם יכולים להינשא בארץ (כגון גרים רפורמיים או זוגות להט"ב) או לזוגות הבוחרים להינשא באמצעות התנועה הרפורמית בשל השקפת עולמם</w:t>
      </w:r>
      <w:r w:rsidR="000745B4" w:rsidRPr="000745B4">
        <w:rPr>
          <w:rFonts w:asciiTheme="minorHAnsi" w:eastAsiaTheme="minorEastAsia" w:hAnsiTheme="minorHAnsi" w:cs="David"/>
          <w:rtl/>
          <w:lang w:eastAsia="en-US"/>
        </w:rPr>
        <w:t xml:space="preserve">. </w:t>
      </w:r>
    </w:p>
    <w:p w14:paraId="036E4484" w14:textId="6ADE092A" w:rsidR="000745B4" w:rsidRPr="000745B4" w:rsidRDefault="000745B4" w:rsidP="00377C32">
      <w:pPr>
        <w:numPr>
          <w:ilvl w:val="0"/>
          <w:numId w:val="4"/>
        </w:numPr>
        <w:shd w:val="clear" w:color="auto" w:fill="FFFFFF"/>
        <w:tabs>
          <w:tab w:val="num" w:pos="540"/>
        </w:tabs>
        <w:autoSpaceDE/>
        <w:autoSpaceDN/>
        <w:spacing w:after="240" w:line="360" w:lineRule="auto"/>
        <w:jc w:val="both"/>
        <w:rPr>
          <w:rFonts w:asciiTheme="minorHAnsi" w:eastAsiaTheme="minorEastAsia" w:hAnsiTheme="minorHAnsi" w:cs="David"/>
          <w:lang w:eastAsia="en-US"/>
        </w:rPr>
      </w:pPr>
      <w:r>
        <w:rPr>
          <w:rFonts w:asciiTheme="minorHAnsi" w:eastAsiaTheme="minorEastAsia" w:hAnsiTheme="minorHAnsi" w:cs="David" w:hint="cs"/>
          <w:rtl/>
          <w:lang w:eastAsia="en-US"/>
        </w:rPr>
        <w:t>העותרת</w:t>
      </w:r>
      <w:r w:rsidR="00377C32">
        <w:rPr>
          <w:rFonts w:asciiTheme="minorHAnsi" w:eastAsiaTheme="minorEastAsia" w:hAnsiTheme="minorHAnsi" w:cs="David" w:hint="cs"/>
          <w:rtl/>
          <w:lang w:eastAsia="en-US"/>
        </w:rPr>
        <w:t xml:space="preserve"> </w:t>
      </w:r>
      <w:r w:rsidR="00B7208D">
        <w:rPr>
          <w:rFonts w:asciiTheme="minorHAnsi" w:eastAsiaTheme="minorEastAsia" w:hAnsiTheme="minorHAnsi" w:cs="David" w:hint="cs"/>
          <w:rtl/>
          <w:lang w:eastAsia="en-US"/>
        </w:rPr>
        <w:t xml:space="preserve">4 </w:t>
      </w:r>
      <w:r w:rsidRPr="000745B4">
        <w:rPr>
          <w:rFonts w:asciiTheme="minorHAnsi" w:eastAsiaTheme="minorEastAsia" w:hAnsiTheme="minorHAnsi" w:cs="David" w:hint="eastAsia"/>
          <w:rtl/>
          <w:lang w:eastAsia="en-US"/>
        </w:rPr>
        <w:t>הינה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תנועה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אזרחית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לא</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מפלגתית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הפועלת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למען</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שינוי</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יחסי</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כוחות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דת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ומדינה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בישראל</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ולכינון</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חברה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חופשית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פלורליסטית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ודמוקרטית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ברוח</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הציונות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ומגילת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העצמאות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התובעת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מפעילה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מאות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מתנדבים</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בכל</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רחבי</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הארץ</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ומקדמת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אג</w:t>
      </w:r>
      <w:r w:rsidRPr="000745B4">
        <w:rPr>
          <w:rFonts w:asciiTheme="minorHAnsi" w:eastAsiaTheme="minorEastAsia" w:hAnsiTheme="minorHAnsi" w:cs="David"/>
          <w:rtl/>
          <w:lang w:eastAsia="en-US"/>
        </w:rPr>
        <w:t>'</w:t>
      </w:r>
      <w:r w:rsidRPr="000745B4">
        <w:rPr>
          <w:rFonts w:asciiTheme="minorHAnsi" w:eastAsiaTheme="minorEastAsia" w:hAnsiTheme="minorHAnsi" w:cs="David" w:hint="eastAsia"/>
          <w:rtl/>
          <w:lang w:eastAsia="en-US"/>
        </w:rPr>
        <w:t>נדה</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אזרחית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פרוגרסיבית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באמצעות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העלאת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נושאי</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חופש</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דת</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ושוויון</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לסדר</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היום</w:t>
      </w:r>
      <w:r w:rsidRPr="000745B4">
        <w:rPr>
          <w:rFonts w:asciiTheme="minorHAnsi" w:eastAsiaTheme="minorEastAsia" w:hAnsiTheme="minorHAnsi" w:cs="David"/>
          <w:rtl/>
          <w:lang w:eastAsia="en-US"/>
        </w:rPr>
        <w:t xml:space="preserve"> </w:t>
      </w:r>
      <w:r w:rsidRPr="000745B4">
        <w:rPr>
          <w:rFonts w:asciiTheme="minorHAnsi" w:eastAsiaTheme="minorEastAsia" w:hAnsiTheme="minorHAnsi" w:cs="David" w:hint="eastAsia"/>
          <w:rtl/>
          <w:lang w:eastAsia="en-US"/>
        </w:rPr>
        <w:t>הציבורי</w:t>
      </w:r>
      <w:r w:rsidRPr="000745B4">
        <w:rPr>
          <w:rFonts w:asciiTheme="minorHAnsi" w:eastAsiaTheme="minorEastAsia" w:hAnsiTheme="minorHAnsi" w:cs="David"/>
          <w:rtl/>
          <w:lang w:eastAsia="en-US"/>
        </w:rPr>
        <w:t xml:space="preserve">. </w:t>
      </w:r>
      <w:r w:rsidR="00500782">
        <w:rPr>
          <w:rFonts w:asciiTheme="minorHAnsi" w:eastAsiaTheme="minorEastAsia" w:hAnsiTheme="minorHAnsi" w:cs="David" w:hint="cs"/>
          <w:rtl/>
          <w:lang w:eastAsia="en-US"/>
        </w:rPr>
        <w:t>מרכז הוויה אצל העותרת 2 מציע שירותי עריכת טקסי נישואין שוויוניים, ומחתן מאות זוגות מדי שנה, הבוחרים</w:t>
      </w:r>
      <w:r w:rsidR="00FB3CCC">
        <w:rPr>
          <w:rFonts w:asciiTheme="minorHAnsi" w:eastAsiaTheme="minorEastAsia" w:hAnsiTheme="minorHAnsi" w:cs="David" w:hint="cs"/>
          <w:rtl/>
          <w:lang w:eastAsia="en-US"/>
        </w:rPr>
        <w:t xml:space="preserve"> להינשא מחוץ</w:t>
      </w:r>
      <w:r w:rsidR="00500782">
        <w:rPr>
          <w:rFonts w:asciiTheme="minorHAnsi" w:eastAsiaTheme="minorEastAsia" w:hAnsiTheme="minorHAnsi" w:cs="David" w:hint="cs"/>
          <w:rtl/>
          <w:lang w:eastAsia="en-US"/>
        </w:rPr>
        <w:t xml:space="preserve"> לרבנות.</w:t>
      </w:r>
    </w:p>
    <w:p w14:paraId="15D344EB" w14:textId="0BEA6CCE" w:rsidR="007757C7" w:rsidRPr="007757C7" w:rsidRDefault="007757C7" w:rsidP="007757C7">
      <w:pPr>
        <w:numPr>
          <w:ilvl w:val="0"/>
          <w:numId w:val="4"/>
        </w:numPr>
        <w:tabs>
          <w:tab w:val="num" w:pos="540"/>
        </w:tabs>
        <w:spacing w:before="240" w:line="360" w:lineRule="auto"/>
        <w:jc w:val="both"/>
        <w:rPr>
          <w:rFonts w:ascii="David" w:hAnsi="David" w:cs="David"/>
        </w:rPr>
      </w:pPr>
      <w:r w:rsidRPr="007757C7">
        <w:rPr>
          <w:rFonts w:ascii="David" w:hAnsi="David" w:cs="David" w:hint="cs"/>
          <w:rtl/>
        </w:rPr>
        <w:t>העותרת 5  שהוקמה בשנת 1997</w:t>
      </w:r>
      <w:r>
        <w:rPr>
          <w:rFonts w:ascii="David" w:hAnsi="David" w:cs="David" w:hint="cs"/>
          <w:rtl/>
        </w:rPr>
        <w:t>,</w:t>
      </w:r>
      <w:r w:rsidRPr="007757C7">
        <w:rPr>
          <w:rFonts w:ascii="David" w:hAnsi="David" w:cs="David" w:hint="cs"/>
          <w:rtl/>
        </w:rPr>
        <w:t xml:space="preserve"> היא עמותה רשומה ופועלת כדין. העותרת</w:t>
      </w:r>
      <w:r w:rsidRPr="007757C7">
        <w:rPr>
          <w:rFonts w:ascii="David" w:hAnsi="David" w:cs="David"/>
          <w:rtl/>
        </w:rPr>
        <w:t xml:space="preserve"> מפעיל</w:t>
      </w:r>
      <w:r w:rsidRPr="007757C7">
        <w:rPr>
          <w:rFonts w:ascii="David" w:hAnsi="David" w:cs="David" w:hint="cs"/>
          <w:rtl/>
        </w:rPr>
        <w:t>ה</w:t>
      </w:r>
      <w:r w:rsidRPr="007757C7">
        <w:rPr>
          <w:rFonts w:ascii="David" w:hAnsi="David" w:cs="David"/>
          <w:rtl/>
        </w:rPr>
        <w:t xml:space="preserve"> מרכז קהילתי, חינוכי וטיפולי רב תחומי בידי ועבור הקהילה הגאה בירושלים וכן פועל</w:t>
      </w:r>
      <w:r w:rsidRPr="007757C7">
        <w:rPr>
          <w:rFonts w:ascii="David" w:hAnsi="David" w:cs="David" w:hint="cs"/>
          <w:rtl/>
        </w:rPr>
        <w:t>ת</w:t>
      </w:r>
      <w:r w:rsidRPr="007757C7">
        <w:rPr>
          <w:rFonts w:ascii="David" w:hAnsi="David" w:cs="David"/>
          <w:rtl/>
        </w:rPr>
        <w:t xml:space="preserve"> למען חירות מאלימות ומאפליה לחברי וחברות הקהילה ולקידום סובלנות ופלורליזם בעיר ירושלים ובחברה הישראלית.</w:t>
      </w:r>
      <w:r w:rsidRPr="007757C7">
        <w:rPr>
          <w:rFonts w:ascii="David" w:hAnsi="David" w:cs="David" w:hint="cs"/>
          <w:rtl/>
        </w:rPr>
        <w:t xml:space="preserve"> פעילותה מחולקת ל</w:t>
      </w:r>
      <w:r w:rsidRPr="007757C7">
        <w:rPr>
          <w:rFonts w:ascii="David" w:hAnsi="David" w:cs="David"/>
          <w:rtl/>
        </w:rPr>
        <w:t>שלוש זרועות ליבה: קהילה, בריאות ושינוי חברתי</w:t>
      </w:r>
      <w:r w:rsidRPr="007757C7">
        <w:rPr>
          <w:rFonts w:ascii="David" w:hAnsi="David" w:cs="David" w:hint="cs"/>
          <w:rtl/>
        </w:rPr>
        <w:t>. זרועות אלה פועלות כחלק אינטגרלי מהמרכז הקהילתי שהעותרת מפעילה למעלה משני עשורים.</w:t>
      </w:r>
    </w:p>
    <w:p w14:paraId="1AE863AF" w14:textId="0525E995" w:rsidR="00542176" w:rsidRPr="0002655F" w:rsidRDefault="00FB3CCC" w:rsidP="00F863CE">
      <w:pPr>
        <w:numPr>
          <w:ilvl w:val="0"/>
          <w:numId w:val="4"/>
        </w:numPr>
        <w:tabs>
          <w:tab w:val="num" w:pos="540"/>
        </w:tabs>
        <w:spacing w:before="240" w:line="360" w:lineRule="auto"/>
        <w:jc w:val="both"/>
        <w:rPr>
          <w:rFonts w:ascii="David" w:hAnsi="David" w:cs="David"/>
        </w:rPr>
      </w:pPr>
      <w:r w:rsidRPr="0002655F">
        <w:rPr>
          <w:rFonts w:ascii="David" w:hAnsi="David" w:cs="David" w:hint="eastAsia"/>
          <w:rtl/>
        </w:rPr>
        <w:t>העותרת</w:t>
      </w:r>
      <w:r w:rsidRPr="0002655F">
        <w:rPr>
          <w:rFonts w:ascii="David" w:hAnsi="David" w:cs="David"/>
          <w:rtl/>
        </w:rPr>
        <w:t xml:space="preserve"> </w:t>
      </w:r>
      <w:r w:rsidR="00F863CE">
        <w:rPr>
          <w:rFonts w:ascii="David" w:hAnsi="David" w:cs="David" w:hint="cs"/>
          <w:rtl/>
        </w:rPr>
        <w:t xml:space="preserve">6 </w:t>
      </w:r>
      <w:r w:rsidR="0002655F" w:rsidRPr="00B72859">
        <w:rPr>
          <w:rFonts w:ascii="David" w:hAnsi="David" w:cs="David" w:hint="eastAsia"/>
          <w:rtl/>
        </w:rPr>
        <w:t>הינה</w:t>
      </w:r>
      <w:r w:rsidR="0002655F" w:rsidRPr="00B72859">
        <w:rPr>
          <w:rFonts w:ascii="David" w:hAnsi="David" w:cs="David"/>
          <w:rtl/>
        </w:rPr>
        <w:t xml:space="preserve"> עמותה רשומה הפועלת משנת 1975, לטובת שוויון זכויות והזדמנויות עבור קהילת ההומואים, הלסביות, הביסקסואלים </w:t>
      </w:r>
      <w:r w:rsidR="0002655F" w:rsidRPr="00B72859">
        <w:rPr>
          <w:rFonts w:ascii="David" w:hAnsi="David" w:cs="David" w:hint="eastAsia"/>
          <w:rtl/>
        </w:rPr>
        <w:t>והטרנסג</w:t>
      </w:r>
      <w:r w:rsidR="0002655F" w:rsidRPr="00B72859">
        <w:rPr>
          <w:rFonts w:ascii="David" w:hAnsi="David" w:cs="David"/>
          <w:rtl/>
        </w:rPr>
        <w:t>'נדרים בישראל.</w:t>
      </w:r>
    </w:p>
    <w:p w14:paraId="6044E7DF" w14:textId="77777777" w:rsidR="00F03BD7" w:rsidRPr="00E43432" w:rsidRDefault="00F03BD7" w:rsidP="00CB2059">
      <w:pPr>
        <w:numPr>
          <w:ilvl w:val="0"/>
          <w:numId w:val="4"/>
        </w:numPr>
        <w:tabs>
          <w:tab w:val="num" w:pos="540"/>
        </w:tabs>
        <w:spacing w:before="240" w:line="360" w:lineRule="auto"/>
        <w:jc w:val="both"/>
        <w:rPr>
          <w:rFonts w:ascii="David" w:hAnsi="David" w:cs="David"/>
        </w:rPr>
      </w:pPr>
      <w:r w:rsidRPr="00E43432">
        <w:rPr>
          <w:rFonts w:ascii="David" w:hAnsi="David" w:cs="David"/>
          <w:rtl/>
        </w:rPr>
        <w:t xml:space="preserve">המשיבה </w:t>
      </w:r>
      <w:r w:rsidR="00CB2059">
        <w:rPr>
          <w:rFonts w:ascii="David" w:hAnsi="David" w:cs="David" w:hint="cs"/>
          <w:rtl/>
        </w:rPr>
        <w:t>מעניקה שירותים לתושבי העיר, והיא אשר יזמה את המיזם "מתחתנים בירושלים" נשוא עתירה זו</w:t>
      </w:r>
      <w:r w:rsidRPr="00E43432">
        <w:rPr>
          <w:rFonts w:ascii="David" w:hAnsi="David" w:cs="David"/>
          <w:rtl/>
        </w:rPr>
        <w:t>.</w:t>
      </w:r>
    </w:p>
    <w:p w14:paraId="4E8031CC" w14:textId="77777777" w:rsidR="00F03BD7" w:rsidRPr="00E43432" w:rsidRDefault="00FB3CCC" w:rsidP="00E36628">
      <w:pPr>
        <w:spacing w:before="240" w:after="240" w:line="360" w:lineRule="auto"/>
        <w:jc w:val="both"/>
        <w:rPr>
          <w:rFonts w:ascii="David" w:hAnsi="David" w:cs="David"/>
          <w:b/>
          <w:bCs/>
          <w:sz w:val="32"/>
          <w:szCs w:val="32"/>
          <w:u w:val="single"/>
          <w:rtl/>
        </w:rPr>
      </w:pPr>
      <w:r>
        <w:rPr>
          <w:rFonts w:ascii="David" w:hAnsi="David" w:cs="David"/>
          <w:b/>
          <w:bCs/>
          <w:sz w:val="32"/>
          <w:szCs w:val="32"/>
          <w:u w:val="single"/>
          <w:rtl/>
        </w:rPr>
        <w:t>רקע עובדתי</w:t>
      </w:r>
    </w:p>
    <w:p w14:paraId="27034C82" w14:textId="70CBE34A" w:rsidR="00E133C3" w:rsidRDefault="00E133C3" w:rsidP="00670310">
      <w:pPr>
        <w:numPr>
          <w:ilvl w:val="0"/>
          <w:numId w:val="4"/>
        </w:numPr>
        <w:autoSpaceDE/>
        <w:autoSpaceDN/>
        <w:spacing w:after="120" w:line="360" w:lineRule="auto"/>
        <w:jc w:val="both"/>
        <w:rPr>
          <w:rFonts w:cs="David"/>
        </w:rPr>
      </w:pPr>
      <w:r w:rsidRPr="00E133C3">
        <w:rPr>
          <w:rFonts w:cs="David" w:hint="cs"/>
          <w:rtl/>
        </w:rPr>
        <w:t>ביום 21.7.2020 התפרסמה בתקשורת</w:t>
      </w:r>
      <w:r w:rsidR="00E02C15">
        <w:rPr>
          <w:rStyle w:val="af5"/>
          <w:rFonts w:cs="David"/>
          <w:rtl/>
        </w:rPr>
        <w:footnoteReference w:id="1"/>
      </w:r>
      <w:r w:rsidRPr="00E133C3">
        <w:rPr>
          <w:rFonts w:cs="David" w:hint="cs"/>
          <w:rtl/>
        </w:rPr>
        <w:t xml:space="preserve"> יוזמה של המשיבה, לפיה בשל התפרצות נגיף הקורונה והמגבלות שחלות על קיום אירועים רבי משתתפים ומאחר שאולמות האירועים סגורים ולא ניתן להינשא בהם, עיריית ירושלים מציעה לזוגות להגיע להינשא בירושלים בגנים ציבוריים </w:t>
      </w:r>
      <w:r w:rsidRPr="00E133C3">
        <w:rPr>
          <w:rFonts w:cs="David" w:hint="cs"/>
          <w:rtl/>
        </w:rPr>
        <w:lastRenderedPageBreak/>
        <w:t xml:space="preserve">ובאתרי תיירות. לפי האמור בכתבה, העירייה פותחת בפני זוגות ירושלמים את האפשרות לערוך חתונה בהיקף מצומצם בהתאם להנחיות משרד הבריאות, באחד מהפארקים או באתרי תיירות הפתוחים </w:t>
      </w:r>
      <w:r w:rsidRPr="00203097">
        <w:rPr>
          <w:rFonts w:cs="David" w:hint="cs"/>
          <w:rtl/>
        </w:rPr>
        <w:t>לציבור</w:t>
      </w:r>
      <w:r w:rsidR="00670310" w:rsidRPr="00203097">
        <w:rPr>
          <w:rFonts w:cs="David" w:hint="cs"/>
          <w:rtl/>
        </w:rPr>
        <w:t>:</w:t>
      </w:r>
      <w:r w:rsidRPr="00203097">
        <w:rPr>
          <w:rFonts w:cs="David" w:hint="cs"/>
          <w:rtl/>
        </w:rPr>
        <w:t xml:space="preserve"> </w:t>
      </w:r>
      <w:r w:rsidR="00670310" w:rsidRPr="00B72859">
        <w:rPr>
          <w:rFonts w:ascii="David" w:hAnsi="David" w:cs="David"/>
          <w:rtl/>
        </w:rPr>
        <w:t>גן הבונים, גן התקומה, גן בלומפילד</w:t>
      </w:r>
      <w:r w:rsidR="00670310" w:rsidRPr="00203097">
        <w:rPr>
          <w:rFonts w:hint="cs"/>
          <w:rtl/>
        </w:rPr>
        <w:t xml:space="preserve">, </w:t>
      </w:r>
      <w:r w:rsidR="00670310" w:rsidRPr="00203097">
        <w:rPr>
          <w:rFonts w:cs="David" w:hint="cs"/>
          <w:rtl/>
        </w:rPr>
        <w:t>גן הורדים, גן מיטשל, טיילת ארמון הנציב, יער ירושלים, מצפ</w:t>
      </w:r>
      <w:r w:rsidR="00670310" w:rsidRPr="00B72859">
        <w:rPr>
          <w:rFonts w:cs="David" w:hint="cs"/>
          <w:rtl/>
        </w:rPr>
        <w:t>ה הר הצופים, מצפ</w:t>
      </w:r>
      <w:r w:rsidR="00670310" w:rsidRPr="00B72859">
        <w:rPr>
          <w:rFonts w:hint="cs"/>
          <w:rtl/>
        </w:rPr>
        <w:t>ור</w:t>
      </w:r>
      <w:r w:rsidR="00670310" w:rsidRPr="00B72859">
        <w:rPr>
          <w:rFonts w:cs="David" w:hint="cs"/>
          <w:rtl/>
        </w:rPr>
        <w:t xml:space="preserve"> שבע הקשתות ואמפיתיאטרון גן הפעמון</w:t>
      </w:r>
      <w:r w:rsidRPr="00E133C3">
        <w:rPr>
          <w:rFonts w:cs="David" w:hint="cs"/>
          <w:rtl/>
        </w:rPr>
        <w:t xml:space="preserve">. בכתבה מופיע קישור לרישום באתר שפתחה עיריית ירושלים ובו זוגות מוזמנים להשאיר את פרטיהם, ולבחור מקום לעריכת ארוע החתונה. </w:t>
      </w:r>
      <w:r>
        <w:rPr>
          <w:rFonts w:cs="David" w:hint="cs"/>
          <w:rtl/>
        </w:rPr>
        <w:t>העירייה הודיעה כי תעמיד לרשות הזוגות המתחתנים את המקום הנבחר ו"חבילת חתונה" שתינתן על ידי העירייה ללא עלות , ותכלול את "המקום, התשתיות, השירותים, התאורה, החופה וכסא הכלה</w:t>
      </w:r>
      <w:r w:rsidR="00E02C15">
        <w:rPr>
          <w:rFonts w:cs="David"/>
        </w:rPr>
        <w:t>”:</w:t>
      </w:r>
    </w:p>
    <w:p w14:paraId="449AD232" w14:textId="77777777" w:rsidR="00E02C15" w:rsidRPr="00E133C3" w:rsidRDefault="00E02C15" w:rsidP="00E02C15">
      <w:pPr>
        <w:autoSpaceDE/>
        <w:autoSpaceDN/>
        <w:spacing w:after="120" w:line="360" w:lineRule="auto"/>
        <w:ind w:left="510"/>
        <w:jc w:val="both"/>
        <w:rPr>
          <w:rFonts w:cs="David"/>
        </w:rPr>
      </w:pPr>
      <w:r>
        <w:rPr>
          <w:noProof/>
          <w:lang w:eastAsia="en-US"/>
        </w:rPr>
        <w:drawing>
          <wp:inline distT="0" distB="0" distL="0" distR="0" wp14:anchorId="306E9114" wp14:editId="1CC07C84">
            <wp:extent cx="5274310" cy="66452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645275"/>
                    </a:xfrm>
                    <a:prstGeom prst="rect">
                      <a:avLst/>
                    </a:prstGeom>
                  </pic:spPr>
                </pic:pic>
              </a:graphicData>
            </a:graphic>
          </wp:inline>
        </w:drawing>
      </w:r>
    </w:p>
    <w:p w14:paraId="027EA022" w14:textId="77777777" w:rsidR="00E133C3" w:rsidRDefault="00E133C3" w:rsidP="00E133C3">
      <w:pPr>
        <w:spacing w:after="120" w:line="360" w:lineRule="auto"/>
        <w:ind w:left="714"/>
        <w:jc w:val="both"/>
        <w:rPr>
          <w:rFonts w:cs="David"/>
        </w:rPr>
      </w:pPr>
      <w:r>
        <w:rPr>
          <w:rFonts w:cs="David" w:hint="cs"/>
          <w:rtl/>
        </w:rPr>
        <w:lastRenderedPageBreak/>
        <w:t>כך נכתב באתר שהמשיבה מפרסמת:</w:t>
      </w:r>
      <w:r>
        <w:rPr>
          <w:rStyle w:val="af5"/>
          <w:rtl/>
        </w:rPr>
        <w:footnoteReference w:id="2"/>
      </w:r>
    </w:p>
    <w:p w14:paraId="4ED1F545" w14:textId="77777777" w:rsidR="00E133C3" w:rsidRPr="00D04BC2" w:rsidRDefault="00E133C3" w:rsidP="00E133C3">
      <w:pPr>
        <w:pStyle w:val="NormalWeb"/>
        <w:shd w:val="clear" w:color="auto" w:fill="DED3D9"/>
        <w:bidi/>
        <w:spacing w:before="0" w:beforeAutospacing="0" w:after="225" w:afterAutospacing="0"/>
        <w:ind w:left="793" w:right="1134"/>
        <w:rPr>
          <w:rFonts w:ascii="David" w:hAnsi="David" w:cs="David"/>
          <w:color w:val="000000"/>
        </w:rPr>
      </w:pPr>
      <w:r>
        <w:rPr>
          <w:rStyle w:val="afc"/>
          <w:rFonts w:ascii="David" w:hAnsi="David" w:cs="David" w:hint="cs"/>
          <w:color w:val="050505"/>
          <w:shd w:val="clear" w:color="auto" w:fill="DED3D9"/>
          <w:rtl/>
        </w:rPr>
        <w:t>"</w:t>
      </w:r>
      <w:r w:rsidRPr="00D04BC2">
        <w:rPr>
          <w:rStyle w:val="afc"/>
          <w:rFonts w:ascii="David" w:hAnsi="David" w:cs="David"/>
          <w:color w:val="050505"/>
          <w:shd w:val="clear" w:color="auto" w:fill="DED3D9"/>
          <w:rtl/>
        </w:rPr>
        <w:t>בימים אלו של מגבלות בשל התפרצות נגיף הקורונה בישראל, כאשר בשיא הקיץ - שיא עונת החתונות – אולמות האירועים סגורים ולא ניתן לקיים חתונה במתכונת הרגילה, עיריית ירושלים מציעה לזוגות לבוא להתחתן בירושלים הקסומה.</w:t>
      </w:r>
    </w:p>
    <w:p w14:paraId="67BB2565" w14:textId="77777777" w:rsidR="00E133C3" w:rsidRPr="00D04BC2" w:rsidRDefault="00E133C3" w:rsidP="00E133C3">
      <w:pPr>
        <w:pStyle w:val="NormalWeb"/>
        <w:shd w:val="clear" w:color="auto" w:fill="DED3D9"/>
        <w:bidi/>
        <w:spacing w:before="0" w:beforeAutospacing="0" w:after="225" w:afterAutospacing="0"/>
        <w:ind w:left="793" w:right="1134"/>
        <w:rPr>
          <w:rFonts w:ascii="David" w:hAnsi="David" w:cs="David"/>
          <w:color w:val="000000"/>
          <w:rtl/>
        </w:rPr>
      </w:pPr>
      <w:r w:rsidRPr="00D04BC2">
        <w:rPr>
          <w:rStyle w:val="afc"/>
          <w:rFonts w:ascii="David" w:hAnsi="David" w:cs="David"/>
          <w:color w:val="050505"/>
          <w:shd w:val="clear" w:color="auto" w:fill="DED3D9"/>
          <w:rtl/>
        </w:rPr>
        <w:t>מצאנו עבורכם את המיקומים הכי מרגשים להפקת חתונה משפחתית ולחוויה בלתי נשכחת</w:t>
      </w:r>
      <w:r w:rsidRPr="00D04BC2">
        <w:rPr>
          <w:rStyle w:val="afc"/>
          <w:rFonts w:ascii="David" w:hAnsi="David" w:cs="David"/>
          <w:color w:val="050505"/>
          <w:shd w:val="clear" w:color="auto" w:fill="DED3D9"/>
        </w:rPr>
        <w:t>!</w:t>
      </w:r>
    </w:p>
    <w:p w14:paraId="11966F8F" w14:textId="77777777" w:rsidR="00E133C3" w:rsidRPr="00D04BC2" w:rsidRDefault="00E133C3" w:rsidP="00E133C3">
      <w:pPr>
        <w:pStyle w:val="NormalWeb"/>
        <w:shd w:val="clear" w:color="auto" w:fill="DED3D9"/>
        <w:bidi/>
        <w:spacing w:before="0" w:beforeAutospacing="0" w:after="225" w:afterAutospacing="0"/>
        <w:ind w:left="793" w:right="1134"/>
        <w:rPr>
          <w:rFonts w:ascii="David" w:hAnsi="David" w:cs="David"/>
          <w:color w:val="000000"/>
          <w:rtl/>
        </w:rPr>
      </w:pPr>
      <w:r w:rsidRPr="00D04BC2">
        <w:rPr>
          <w:rStyle w:val="afc"/>
          <w:rFonts w:ascii="David" w:hAnsi="David" w:cs="David"/>
          <w:color w:val="050505"/>
          <w:shd w:val="clear" w:color="auto" w:fill="DED3D9"/>
          <w:rtl/>
        </w:rPr>
        <w:t>ירושלים פותחת עבור הזוגות המאושרים את האפשרות לחתונה אינטימית למשפחה המצומצמת ומעניקה לכל זוג את האפשרות להתחתן באחד מהמיקומים הבאים: גן הבונים, גן התקומה, טיילת ארמון הנציב, מצפה שבע הקשתות, גן הורדים, גן בלומפילד, גן מיטשל, יער ירושלים, גן הפעמון ומצפה הר הצופים . בכל אחד מהמקומות יהיו תשתיות בסיסיות לקיום החתונה.</w:t>
      </w:r>
    </w:p>
    <w:p w14:paraId="53426896" w14:textId="77777777" w:rsidR="00E133C3" w:rsidRPr="00D04BC2" w:rsidRDefault="00E133C3" w:rsidP="00E133C3">
      <w:pPr>
        <w:pStyle w:val="NormalWeb"/>
        <w:shd w:val="clear" w:color="auto" w:fill="DED3D9"/>
        <w:bidi/>
        <w:spacing w:before="0" w:beforeAutospacing="0" w:after="225" w:afterAutospacing="0"/>
        <w:ind w:left="793" w:right="1134"/>
        <w:rPr>
          <w:rStyle w:val="afc"/>
          <w:color w:val="050505"/>
          <w:shd w:val="clear" w:color="auto" w:fill="DED3D9"/>
          <w:rtl/>
        </w:rPr>
      </w:pPr>
      <w:r w:rsidRPr="00D04BC2">
        <w:rPr>
          <w:rStyle w:val="afc"/>
          <w:rFonts w:ascii="David" w:hAnsi="David" w:cs="David"/>
          <w:color w:val="050505"/>
          <w:shd w:val="clear" w:color="auto" w:fill="DED3D9"/>
          <w:rtl/>
        </w:rPr>
        <w:t>האירוע יתקיים תוך שמירה על הנחיות משרד הבריאות – כמות מוזמנים, מרחק, הצהרת בריאות, מדידת חום.</w:t>
      </w:r>
    </w:p>
    <w:p w14:paraId="35B31FB4" w14:textId="77777777" w:rsidR="00E133C3" w:rsidRPr="00D04BC2" w:rsidRDefault="00E133C3" w:rsidP="00E133C3">
      <w:pPr>
        <w:pStyle w:val="NormalWeb"/>
        <w:shd w:val="clear" w:color="auto" w:fill="DED3D9"/>
        <w:bidi/>
        <w:spacing w:before="0" w:beforeAutospacing="0" w:after="225" w:afterAutospacing="0"/>
        <w:ind w:left="793" w:right="1134"/>
        <w:rPr>
          <w:rStyle w:val="afc"/>
          <w:color w:val="050505"/>
          <w:shd w:val="clear" w:color="auto" w:fill="DED3D9"/>
          <w:rtl/>
        </w:rPr>
      </w:pPr>
      <w:r w:rsidRPr="00D04BC2">
        <w:rPr>
          <w:rStyle w:val="afc"/>
          <w:rFonts w:ascii="David" w:hAnsi="David" w:cs="David"/>
          <w:color w:val="050505"/>
          <w:shd w:val="clear" w:color="auto" w:fill="DED3D9"/>
          <w:rtl/>
        </w:rPr>
        <w:t>ההרשמה פתוחה לזוגות ירושלמים (כאשר לפחות אחד מבני הזוג הינו תושב העיר ירושלים).</w:t>
      </w:r>
    </w:p>
    <w:p w14:paraId="33D414BB" w14:textId="77777777" w:rsidR="00E133C3" w:rsidRPr="00D04BC2" w:rsidRDefault="00E133C3" w:rsidP="00E133C3">
      <w:pPr>
        <w:pStyle w:val="NormalWeb"/>
        <w:shd w:val="clear" w:color="auto" w:fill="DED3D9"/>
        <w:bidi/>
        <w:spacing w:before="0" w:beforeAutospacing="0" w:after="225" w:afterAutospacing="0"/>
        <w:ind w:left="793" w:right="1134"/>
        <w:rPr>
          <w:rFonts w:ascii="David" w:hAnsi="David" w:cs="David"/>
          <w:color w:val="000000"/>
          <w:rtl/>
        </w:rPr>
      </w:pPr>
      <w:r w:rsidRPr="00D04BC2">
        <w:rPr>
          <w:rStyle w:val="afc"/>
          <w:rFonts w:ascii="David" w:hAnsi="David" w:cs="David"/>
          <w:color w:val="050505"/>
          <w:shd w:val="clear" w:color="auto" w:fill="DED3D9"/>
          <w:rtl/>
        </w:rPr>
        <w:t>כל זוג יכול להירשם פעם אחת בלבד לקבלת חבילת החתונה.</w:t>
      </w:r>
      <w:r>
        <w:rPr>
          <w:rStyle w:val="afc"/>
          <w:rFonts w:ascii="David" w:hAnsi="David" w:cs="David" w:hint="cs"/>
          <w:color w:val="050505"/>
          <w:shd w:val="clear" w:color="auto" w:fill="DED3D9"/>
          <w:rtl/>
        </w:rPr>
        <w:t>"</w:t>
      </w:r>
    </w:p>
    <w:p w14:paraId="6A2C29B1" w14:textId="77777777" w:rsidR="00E133C3" w:rsidRPr="00984221" w:rsidRDefault="00E133C3" w:rsidP="00E133C3">
      <w:pPr>
        <w:numPr>
          <w:ilvl w:val="0"/>
          <w:numId w:val="4"/>
        </w:numPr>
        <w:autoSpaceDE/>
        <w:autoSpaceDN/>
        <w:spacing w:after="120" w:line="360" w:lineRule="auto"/>
        <w:jc w:val="both"/>
        <w:rPr>
          <w:rFonts w:cs="David"/>
          <w:rtl/>
        </w:rPr>
      </w:pPr>
      <w:r>
        <w:rPr>
          <w:rFonts w:cs="David" w:hint="cs"/>
          <w:rtl/>
        </w:rPr>
        <w:t>הזוגות נדרשים למלא שמות, טלפונים, כתובת מגורים וכתובת מייל. כך ניראה אתר הרישום של עיריית ירושלים:</w:t>
      </w:r>
    </w:p>
    <w:p w14:paraId="3B484A63" w14:textId="77777777" w:rsidR="00E133C3" w:rsidRDefault="00E133C3" w:rsidP="00E133C3">
      <w:pPr>
        <w:bidi w:val="0"/>
        <w:ind w:hanging="709"/>
        <w:rPr>
          <w:noProof/>
          <w:rtl/>
        </w:rPr>
      </w:pPr>
      <w:r>
        <w:rPr>
          <w:noProof/>
          <w:lang w:eastAsia="en-US"/>
        </w:rPr>
        <w:drawing>
          <wp:inline distT="0" distB="0" distL="0" distR="0" wp14:anchorId="1F759C09" wp14:editId="7DEFD511">
            <wp:extent cx="5943257" cy="4056380"/>
            <wp:effectExtent l="0" t="0" r="635" b="127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75" b="4221"/>
                    <a:stretch/>
                  </pic:blipFill>
                  <pic:spPr bwMode="auto">
                    <a:xfrm>
                      <a:off x="0" y="0"/>
                      <a:ext cx="5943257" cy="4056380"/>
                    </a:xfrm>
                    <a:prstGeom prst="rect">
                      <a:avLst/>
                    </a:prstGeom>
                    <a:ln>
                      <a:noFill/>
                    </a:ln>
                    <a:extLst>
                      <a:ext uri="{53640926-AAD7-44D8-BBD7-CCE9431645EC}">
                        <a14:shadowObscured xmlns:a14="http://schemas.microsoft.com/office/drawing/2010/main"/>
                      </a:ext>
                    </a:extLst>
                  </pic:spPr>
                </pic:pic>
              </a:graphicData>
            </a:graphic>
          </wp:inline>
        </w:drawing>
      </w:r>
    </w:p>
    <w:p w14:paraId="5F5A7EB2" w14:textId="77777777" w:rsidR="00E133C3" w:rsidRDefault="00E133C3" w:rsidP="00E133C3">
      <w:pPr>
        <w:ind w:hanging="526"/>
        <w:jc w:val="center"/>
        <w:rPr>
          <w:rtl/>
        </w:rPr>
      </w:pPr>
      <w:r>
        <w:rPr>
          <w:noProof/>
          <w:lang w:eastAsia="en-US"/>
        </w:rPr>
        <w:lastRenderedPageBreak/>
        <w:drawing>
          <wp:inline distT="0" distB="0" distL="0" distR="0" wp14:anchorId="74CDD82C" wp14:editId="17EAF883">
            <wp:extent cx="6020275" cy="2395288"/>
            <wp:effectExtent l="0" t="0" r="0" b="50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357" r="-1887" b="17782"/>
                    <a:stretch/>
                  </pic:blipFill>
                  <pic:spPr bwMode="auto">
                    <a:xfrm>
                      <a:off x="0" y="0"/>
                      <a:ext cx="6069841" cy="2415009"/>
                    </a:xfrm>
                    <a:prstGeom prst="rect">
                      <a:avLst/>
                    </a:prstGeom>
                    <a:ln>
                      <a:noFill/>
                    </a:ln>
                    <a:extLst>
                      <a:ext uri="{53640926-AAD7-44D8-BBD7-CCE9431645EC}">
                        <a14:shadowObscured xmlns:a14="http://schemas.microsoft.com/office/drawing/2010/main"/>
                      </a:ext>
                    </a:extLst>
                  </pic:spPr>
                </pic:pic>
              </a:graphicData>
            </a:graphic>
          </wp:inline>
        </w:drawing>
      </w:r>
    </w:p>
    <w:p w14:paraId="2DBB5E7D" w14:textId="77777777" w:rsidR="00E133C3" w:rsidRDefault="00E133C3" w:rsidP="005E7A45">
      <w:pPr>
        <w:ind w:hanging="341"/>
        <w:jc w:val="center"/>
        <w:rPr>
          <w:rtl/>
        </w:rPr>
      </w:pPr>
      <w:r>
        <w:rPr>
          <w:noProof/>
          <w:lang w:eastAsia="en-US"/>
        </w:rPr>
        <w:drawing>
          <wp:inline distT="0" distB="0" distL="0" distR="0" wp14:anchorId="2C4C7C0E" wp14:editId="0D3FDCFC">
            <wp:extent cx="5943600" cy="337585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4577" r="-10" b="4537"/>
                    <a:stretch/>
                  </pic:blipFill>
                  <pic:spPr bwMode="auto">
                    <a:xfrm>
                      <a:off x="0" y="0"/>
                      <a:ext cx="5944255" cy="3376227"/>
                    </a:xfrm>
                    <a:prstGeom prst="rect">
                      <a:avLst/>
                    </a:prstGeom>
                    <a:ln>
                      <a:noFill/>
                    </a:ln>
                    <a:extLst>
                      <a:ext uri="{53640926-AAD7-44D8-BBD7-CCE9431645EC}">
                        <a14:shadowObscured xmlns:a14="http://schemas.microsoft.com/office/drawing/2010/main"/>
                      </a:ext>
                    </a:extLst>
                  </pic:spPr>
                </pic:pic>
              </a:graphicData>
            </a:graphic>
          </wp:inline>
        </w:drawing>
      </w:r>
    </w:p>
    <w:p w14:paraId="0824A380" w14:textId="77777777" w:rsidR="00E133C3" w:rsidRDefault="00E133C3" w:rsidP="00E133C3">
      <w:r>
        <w:rPr>
          <w:noProof/>
          <w:lang w:eastAsia="en-US"/>
        </w:rPr>
        <w:lastRenderedPageBreak/>
        <w:drawing>
          <wp:inline distT="0" distB="0" distL="0" distR="0" wp14:anchorId="660D765A" wp14:editId="2D824D7D">
            <wp:extent cx="5908040" cy="3382108"/>
            <wp:effectExtent l="0" t="0" r="0" b="889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261" r="585" b="4681"/>
                    <a:stretch/>
                  </pic:blipFill>
                  <pic:spPr bwMode="auto">
                    <a:xfrm>
                      <a:off x="0" y="0"/>
                      <a:ext cx="5908852" cy="3382573"/>
                    </a:xfrm>
                    <a:prstGeom prst="rect">
                      <a:avLst/>
                    </a:prstGeom>
                    <a:ln>
                      <a:noFill/>
                    </a:ln>
                    <a:extLst>
                      <a:ext uri="{53640926-AAD7-44D8-BBD7-CCE9431645EC}">
                        <a14:shadowObscured xmlns:a14="http://schemas.microsoft.com/office/drawing/2010/main"/>
                      </a:ext>
                    </a:extLst>
                  </pic:spPr>
                </pic:pic>
              </a:graphicData>
            </a:graphic>
          </wp:inline>
        </w:drawing>
      </w:r>
    </w:p>
    <w:p w14:paraId="00A120EC" w14:textId="77777777" w:rsidR="00E133C3" w:rsidRDefault="00E133C3" w:rsidP="00E133C3">
      <w:pPr>
        <w:spacing w:after="120" w:line="360" w:lineRule="auto"/>
        <w:ind w:left="714"/>
        <w:jc w:val="both"/>
        <w:rPr>
          <w:rFonts w:cs="David"/>
        </w:rPr>
      </w:pPr>
    </w:p>
    <w:p w14:paraId="4078B2C9" w14:textId="77777777" w:rsidR="00E133C3" w:rsidRDefault="00E133C3" w:rsidP="0056026C">
      <w:pPr>
        <w:numPr>
          <w:ilvl w:val="0"/>
          <w:numId w:val="4"/>
        </w:numPr>
        <w:autoSpaceDE/>
        <w:autoSpaceDN/>
        <w:spacing w:after="120" w:line="360" w:lineRule="auto"/>
        <w:jc w:val="both"/>
        <w:rPr>
          <w:rFonts w:ascii="David" w:hAnsi="David" w:cs="David"/>
        </w:rPr>
      </w:pPr>
      <w:r>
        <w:rPr>
          <w:rFonts w:cs="David" w:hint="cs"/>
          <w:rtl/>
        </w:rPr>
        <w:t xml:space="preserve">בעקבות הפרסום בתקשורת וברשתות החברתיות פנו מספר זוגות שאינם נישאים דרך הרבנות ומספר זוגות להט"בים אל </w:t>
      </w:r>
      <w:r w:rsidR="0056026C">
        <w:rPr>
          <w:rFonts w:cs="David" w:hint="cs"/>
          <w:rtl/>
        </w:rPr>
        <w:t>המשיבה</w:t>
      </w:r>
      <w:r>
        <w:rPr>
          <w:rFonts w:cs="David" w:hint="cs"/>
          <w:rtl/>
        </w:rPr>
        <w:t xml:space="preserve"> בכדי להירשם למיזם. אלא שאז התגלה כי המיזם של עיריית ירושלים אינו פתוח בפני כלל הציבור הירושלמי והוא למעשה מיזם מדיר ומפלה. לשאלת אותם זוגות אם הם יוכלו להינשא במסגרת המיזם של העירייה, היא השיבה כי:</w:t>
      </w:r>
      <w:r w:rsidRPr="00866E72">
        <w:rPr>
          <w:rFonts w:ascii="David" w:hAnsi="David" w:cs="David"/>
          <w:rtl/>
        </w:rPr>
        <w:t xml:space="preserve"> </w:t>
      </w:r>
      <w:r w:rsidRPr="00866E72">
        <w:rPr>
          <w:rFonts w:ascii="David" w:hAnsi="David" w:cs="David"/>
          <w:color w:val="272727"/>
          <w:shd w:val="clear" w:color="auto" w:fill="FFFFFF"/>
        </w:rPr>
        <w:t>"</w:t>
      </w:r>
      <w:r w:rsidRPr="00866E72">
        <w:rPr>
          <w:rFonts w:ascii="David" w:hAnsi="David" w:cs="David"/>
          <w:color w:val="272727"/>
          <w:shd w:val="clear" w:color="auto" w:fill="FFFFFF"/>
          <w:rtl/>
        </w:rPr>
        <w:t xml:space="preserve">עיריית ירושלים שמחה לסייע בקיום חתונות </w:t>
      </w:r>
      <w:r w:rsidRPr="00750AE3">
        <w:rPr>
          <w:rFonts w:ascii="David" w:hAnsi="David" w:cs="David"/>
          <w:b/>
          <w:bCs/>
          <w:color w:val="272727"/>
          <w:u w:val="single"/>
          <w:shd w:val="clear" w:color="auto" w:fill="FFFFFF"/>
          <w:rtl/>
        </w:rPr>
        <w:t>של כל מי שנרשמו לנישואין כדין</w:t>
      </w:r>
      <w:r w:rsidRPr="00866E72">
        <w:rPr>
          <w:rFonts w:ascii="David" w:hAnsi="David" w:cs="David"/>
          <w:color w:val="272727"/>
          <w:shd w:val="clear" w:color="auto" w:fill="FFFFFF"/>
        </w:rPr>
        <w:t>".</w:t>
      </w:r>
      <w:r w:rsidR="005D3515">
        <w:rPr>
          <w:rStyle w:val="af5"/>
          <w:rFonts w:ascii="David" w:hAnsi="David" w:cs="David"/>
          <w:color w:val="272727"/>
          <w:shd w:val="clear" w:color="auto" w:fill="FFFFFF"/>
        </w:rPr>
        <w:footnoteReference w:id="3"/>
      </w:r>
      <w:r w:rsidRPr="00866E72">
        <w:rPr>
          <w:rFonts w:ascii="David" w:hAnsi="David" w:cs="David"/>
          <w:rtl/>
        </w:rPr>
        <w:t xml:space="preserve"> </w:t>
      </w:r>
    </w:p>
    <w:p w14:paraId="716F9392" w14:textId="77777777" w:rsidR="005D3515" w:rsidRDefault="005D3515" w:rsidP="005E7A45">
      <w:pPr>
        <w:autoSpaceDE/>
        <w:autoSpaceDN/>
        <w:spacing w:after="120" w:line="360" w:lineRule="auto"/>
        <w:ind w:left="510" w:hanging="568"/>
        <w:jc w:val="center"/>
        <w:rPr>
          <w:rFonts w:ascii="David" w:hAnsi="David" w:cs="David"/>
        </w:rPr>
      </w:pPr>
      <w:r>
        <w:rPr>
          <w:noProof/>
          <w:lang w:eastAsia="en-US"/>
        </w:rPr>
        <w:drawing>
          <wp:inline distT="0" distB="0" distL="0" distR="0" wp14:anchorId="7AE3725F" wp14:editId="02A7AF09">
            <wp:extent cx="5274310" cy="2840314"/>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40314"/>
                    </a:xfrm>
                    <a:prstGeom prst="rect">
                      <a:avLst/>
                    </a:prstGeom>
                    <a:noFill/>
                    <a:ln>
                      <a:noFill/>
                    </a:ln>
                  </pic:spPr>
                </pic:pic>
              </a:graphicData>
            </a:graphic>
          </wp:inline>
        </w:drawing>
      </w:r>
    </w:p>
    <w:p w14:paraId="607D4970" w14:textId="77079528" w:rsidR="00E133C3" w:rsidRDefault="00E133C3" w:rsidP="00E133C3">
      <w:pPr>
        <w:numPr>
          <w:ilvl w:val="0"/>
          <w:numId w:val="4"/>
        </w:numPr>
        <w:autoSpaceDE/>
        <w:autoSpaceDN/>
        <w:spacing w:after="120" w:line="360" w:lineRule="auto"/>
        <w:jc w:val="both"/>
        <w:rPr>
          <w:rFonts w:ascii="David" w:hAnsi="David" w:cs="David"/>
        </w:rPr>
      </w:pPr>
      <w:r>
        <w:rPr>
          <w:rFonts w:ascii="David" w:hAnsi="David" w:cs="David" w:hint="cs"/>
          <w:rtl/>
        </w:rPr>
        <w:t xml:space="preserve">הואיל וניתן להירשם לנישואים בארץ רק במסגרת הרבנות (ככל שמדובר בזוגות יהודים), יוצא שעיריית ירושלים מציעה שירותיה לציבור ומאפשרת לזוגות להינשא במסגרת המיזם </w:t>
      </w:r>
      <w:r>
        <w:rPr>
          <w:rFonts w:ascii="David" w:hAnsi="David" w:cs="David" w:hint="cs"/>
          <w:rtl/>
        </w:rPr>
        <w:lastRenderedPageBreak/>
        <w:t xml:space="preserve">בגנים ציבוריים כאשר עלויות המיקום, השירותים, התשתיות והחופה הינם במימון העירייה, </w:t>
      </w:r>
      <w:r w:rsidRPr="0074383C">
        <w:rPr>
          <w:rFonts w:ascii="David" w:hAnsi="David" w:cs="David" w:hint="cs"/>
          <w:b/>
          <w:bCs/>
          <w:rtl/>
        </w:rPr>
        <w:t>אך ורק אם הזוגות הללו נישאו ברבנות</w:t>
      </w:r>
      <w:r>
        <w:rPr>
          <w:rFonts w:ascii="David" w:hAnsi="David" w:cs="David" w:hint="cs"/>
          <w:rtl/>
        </w:rPr>
        <w:t>.</w:t>
      </w:r>
    </w:p>
    <w:p w14:paraId="78F20AFA" w14:textId="6FC107D7" w:rsidR="00F863CE" w:rsidRDefault="00F863CE" w:rsidP="00F863CE">
      <w:pPr>
        <w:numPr>
          <w:ilvl w:val="0"/>
          <w:numId w:val="4"/>
        </w:numPr>
        <w:autoSpaceDE/>
        <w:autoSpaceDN/>
        <w:spacing w:after="120" w:line="360" w:lineRule="auto"/>
        <w:jc w:val="both"/>
        <w:rPr>
          <w:rFonts w:ascii="David" w:hAnsi="David" w:cs="David"/>
        </w:rPr>
      </w:pPr>
      <w:r>
        <w:rPr>
          <w:rFonts w:ascii="David" w:hAnsi="David" w:cs="David" w:hint="cs"/>
          <w:rtl/>
        </w:rPr>
        <w:t>העותרים 1-2</w:t>
      </w:r>
      <w:r w:rsidR="002C2765">
        <w:rPr>
          <w:rFonts w:ascii="David" w:hAnsi="David" w:cs="David" w:hint="cs"/>
          <w:rtl/>
        </w:rPr>
        <w:t>, תושבי ירושלים,</w:t>
      </w:r>
      <w:r>
        <w:rPr>
          <w:rFonts w:ascii="David" w:hAnsi="David" w:cs="David" w:hint="cs"/>
          <w:rtl/>
        </w:rPr>
        <w:t xml:space="preserve"> היו אמורים להינשא בטקס חתונה רפורמי ביום 16.7.20, טקס אותו היתה אמורה לערוך הרבה הרפורמית ליאורה אזרחי-ורד, אלא שבשל מגבלות הקורונה, הטקס נדחה בהעדר מקום לערוך את הארוע. משלמדו העותרים על המיזם שמציעה המשיבה, ביקשו לקחת בו חלק, אולם נוכח תגובת המשיבה, לפיה המיזם פתוח רק למ</w:t>
      </w:r>
      <w:r w:rsidR="002C2765">
        <w:rPr>
          <w:rFonts w:ascii="David" w:hAnsi="David" w:cs="David" w:hint="cs"/>
          <w:rtl/>
        </w:rPr>
        <w:t>י שנרשם לנישואים בארץ, הבינו כי לא יוכלו לקחת חלק במיזם, מה שהעמיד אותם בפני שוקת שבורה, בהעדר כל יכולת לערוך את טקס הנישואים שלהם במקום אחר.</w:t>
      </w:r>
    </w:p>
    <w:p w14:paraId="41774234" w14:textId="1CE186CC" w:rsidR="00C64A58" w:rsidRDefault="00E133C3" w:rsidP="002C2765">
      <w:pPr>
        <w:numPr>
          <w:ilvl w:val="0"/>
          <w:numId w:val="4"/>
        </w:numPr>
        <w:tabs>
          <w:tab w:val="num" w:pos="540"/>
        </w:tabs>
        <w:spacing w:before="240" w:line="360" w:lineRule="auto"/>
        <w:jc w:val="both"/>
        <w:rPr>
          <w:rFonts w:ascii="David" w:hAnsi="David" w:cs="David"/>
        </w:rPr>
      </w:pPr>
      <w:r>
        <w:rPr>
          <w:rFonts w:ascii="David" w:hAnsi="David" w:cs="David" w:hint="cs"/>
          <w:rtl/>
        </w:rPr>
        <w:t xml:space="preserve">ביום 22.7.20 פנו העותרות </w:t>
      </w:r>
      <w:r w:rsidR="002C2765">
        <w:rPr>
          <w:rFonts w:ascii="David" w:hAnsi="David" w:cs="David" w:hint="cs"/>
          <w:rtl/>
        </w:rPr>
        <w:t>5-6</w:t>
      </w:r>
      <w:r>
        <w:rPr>
          <w:rFonts w:ascii="David" w:hAnsi="David" w:cs="David" w:hint="cs"/>
          <w:rtl/>
        </w:rPr>
        <w:t xml:space="preserve"> למשיבה ועמדו על כך ש</w:t>
      </w:r>
      <w:r w:rsidR="00E5294C">
        <w:rPr>
          <w:rFonts w:ascii="David" w:hAnsi="David" w:cs="David" w:hint="cs"/>
          <w:rtl/>
        </w:rPr>
        <w:t>העמדת המיזם רק לזוג שהם איש ואשה הנישאים בנישואין אורתודוכסיים היא הפליה אסורה ופסולה. במכתב צוין כי העירייה מחויבת לנהוג בשוויון בעת הקצאת משאביה והודגש כי זוגות להט"ב אינם יכולים להירשם לנישואים בארץ והדרתם מהמיזם היא מקוממת. המשיבה נדרשה להבהיר כי כל הזוגות המעוני</w:t>
      </w:r>
      <w:r w:rsidR="007757C7">
        <w:rPr>
          <w:rFonts w:ascii="David" w:hAnsi="David" w:cs="David" w:hint="cs"/>
          <w:rtl/>
        </w:rPr>
        <w:t>י</w:t>
      </w:r>
      <w:r w:rsidR="00E5294C">
        <w:rPr>
          <w:rFonts w:ascii="David" w:hAnsi="David" w:cs="David" w:hint="cs"/>
          <w:rtl/>
        </w:rPr>
        <w:t>נים בכך ולפחות אחד מהם תושבי ירושלים יוכלו להירשם לפרויקט ולקבל את ההטבות שמציעה המשיבה, תוך ביטול הדרישה של "רישום לנישואים כדין." המשיבה נתבקשה להשיב תוך 48 שעות, נוכח סד הזמנים הקצר.</w:t>
      </w:r>
    </w:p>
    <w:p w14:paraId="173389AD" w14:textId="779C4E1E" w:rsidR="00E5294C" w:rsidRDefault="00E5294C" w:rsidP="002C2765">
      <w:pPr>
        <w:tabs>
          <w:tab w:val="num" w:pos="540"/>
        </w:tabs>
        <w:spacing w:before="240" w:line="360" w:lineRule="auto"/>
        <w:ind w:left="510"/>
        <w:jc w:val="both"/>
        <w:rPr>
          <w:rFonts w:ascii="David" w:hAnsi="David" w:cs="David"/>
          <w:rtl/>
        </w:rPr>
      </w:pPr>
      <w:r>
        <w:rPr>
          <w:rFonts w:ascii="David" w:hAnsi="David" w:cs="David" w:hint="cs"/>
          <w:rtl/>
        </w:rPr>
        <w:t xml:space="preserve">פניית העותרות </w:t>
      </w:r>
      <w:r w:rsidR="002C2765">
        <w:rPr>
          <w:rFonts w:ascii="David" w:hAnsi="David" w:cs="David" w:hint="cs"/>
          <w:rtl/>
        </w:rPr>
        <w:t xml:space="preserve">5-6 </w:t>
      </w:r>
      <w:r>
        <w:rPr>
          <w:rFonts w:ascii="David" w:hAnsi="David" w:cs="David" w:hint="cs"/>
          <w:rtl/>
        </w:rPr>
        <w:t xml:space="preserve">מצ"ב ומסומנת </w:t>
      </w:r>
      <w:r w:rsidRPr="00160B30">
        <w:rPr>
          <w:rFonts w:ascii="David" w:hAnsi="David" w:cs="David" w:hint="cs"/>
          <w:b/>
          <w:bCs/>
          <w:u w:val="single"/>
          <w:rtl/>
        </w:rPr>
        <w:t>נספח א'</w:t>
      </w:r>
      <w:r>
        <w:rPr>
          <w:rFonts w:ascii="David" w:hAnsi="David" w:cs="David" w:hint="cs"/>
          <w:rtl/>
        </w:rPr>
        <w:t>.</w:t>
      </w:r>
    </w:p>
    <w:p w14:paraId="2F3581F3" w14:textId="426DD853" w:rsidR="006C347B" w:rsidRDefault="00E5294C" w:rsidP="002C2765">
      <w:pPr>
        <w:numPr>
          <w:ilvl w:val="0"/>
          <w:numId w:val="4"/>
        </w:numPr>
        <w:tabs>
          <w:tab w:val="num" w:pos="540"/>
        </w:tabs>
        <w:spacing w:before="240" w:line="360" w:lineRule="auto"/>
        <w:jc w:val="both"/>
        <w:rPr>
          <w:rFonts w:cs="David"/>
        </w:rPr>
      </w:pPr>
      <w:r>
        <w:rPr>
          <w:rFonts w:ascii="David" w:hAnsi="David" w:cs="David" w:hint="cs"/>
          <w:rtl/>
        </w:rPr>
        <w:t xml:space="preserve">ביום 23.7.29 פנו העותרות </w:t>
      </w:r>
      <w:r w:rsidR="002C2765">
        <w:rPr>
          <w:rFonts w:ascii="David" w:hAnsi="David" w:cs="David" w:hint="cs"/>
          <w:rtl/>
        </w:rPr>
        <w:t>3-4</w:t>
      </w:r>
      <w:r>
        <w:rPr>
          <w:rFonts w:ascii="David" w:hAnsi="David" w:cs="David" w:hint="cs"/>
          <w:rtl/>
        </w:rPr>
        <w:t xml:space="preserve"> למשיבה ועמדו אף הן על כך שהגבלת המיזם רק לזוגות הנישאים ברבנות יש בה </w:t>
      </w:r>
      <w:r w:rsidRPr="00E43B6C">
        <w:rPr>
          <w:rFonts w:cs="David" w:hint="cs"/>
          <w:rtl/>
        </w:rPr>
        <w:t>אפליה חמורה על רקע השתייכות דתית, השקפה ונטייה מינית</w:t>
      </w:r>
      <w:r>
        <w:rPr>
          <w:rFonts w:cs="David" w:hint="cs"/>
          <w:rtl/>
        </w:rPr>
        <w:t>, וכן פגיעה ב</w:t>
      </w:r>
      <w:r w:rsidRPr="00DA23EB">
        <w:rPr>
          <w:rFonts w:ascii="David" w:hAnsi="David" w:cs="David" w:hint="eastAsia"/>
          <w:rtl/>
        </w:rPr>
        <w:t>חופש</w:t>
      </w:r>
      <w:r w:rsidRPr="00DA23EB">
        <w:rPr>
          <w:rFonts w:ascii="David" w:hAnsi="David" w:cs="David"/>
          <w:rtl/>
        </w:rPr>
        <w:t xml:space="preserve"> </w:t>
      </w:r>
      <w:r w:rsidRPr="00DA23EB">
        <w:rPr>
          <w:rFonts w:ascii="David" w:hAnsi="David" w:cs="David" w:hint="eastAsia"/>
          <w:rtl/>
        </w:rPr>
        <w:t>הדת</w:t>
      </w:r>
      <w:r w:rsidRPr="00DA23EB">
        <w:rPr>
          <w:rFonts w:ascii="David" w:hAnsi="David" w:cs="David"/>
          <w:rtl/>
        </w:rPr>
        <w:t xml:space="preserve"> </w:t>
      </w:r>
      <w:r w:rsidRPr="00DA23EB">
        <w:rPr>
          <w:rFonts w:ascii="David" w:hAnsi="David" w:cs="David" w:hint="eastAsia"/>
          <w:rtl/>
        </w:rPr>
        <w:t>ו</w:t>
      </w:r>
      <w:r>
        <w:rPr>
          <w:rFonts w:ascii="David" w:hAnsi="David" w:cs="David" w:hint="cs"/>
          <w:rtl/>
        </w:rPr>
        <w:t>הפרה</w:t>
      </w:r>
      <w:r w:rsidRPr="00DA23EB">
        <w:rPr>
          <w:rFonts w:ascii="David" w:hAnsi="David" w:cs="David"/>
          <w:rtl/>
        </w:rPr>
        <w:t xml:space="preserve"> </w:t>
      </w:r>
      <w:r w:rsidRPr="00DA23EB">
        <w:rPr>
          <w:rFonts w:ascii="David" w:hAnsi="David" w:cs="David" w:hint="eastAsia"/>
          <w:rtl/>
        </w:rPr>
        <w:t>של</w:t>
      </w:r>
      <w:r w:rsidRPr="00DA23EB">
        <w:rPr>
          <w:rFonts w:ascii="David" w:hAnsi="David" w:cs="David"/>
          <w:rtl/>
        </w:rPr>
        <w:t xml:space="preserve"> </w:t>
      </w:r>
      <w:r w:rsidRPr="00DA23EB">
        <w:rPr>
          <w:rFonts w:ascii="David" w:hAnsi="David" w:cs="David" w:hint="eastAsia"/>
          <w:rtl/>
        </w:rPr>
        <w:t>חוק</w:t>
      </w:r>
      <w:r w:rsidRPr="00DA23EB">
        <w:rPr>
          <w:rFonts w:ascii="David" w:hAnsi="David" w:cs="David"/>
          <w:rtl/>
        </w:rPr>
        <w:t xml:space="preserve"> </w:t>
      </w:r>
      <w:r w:rsidRPr="00DA23EB">
        <w:rPr>
          <w:rFonts w:ascii="David" w:hAnsi="David" w:cs="David" w:hint="eastAsia"/>
          <w:rtl/>
        </w:rPr>
        <w:t>איסור</w:t>
      </w:r>
      <w:r w:rsidRPr="00DA23EB">
        <w:rPr>
          <w:rFonts w:ascii="David" w:hAnsi="David" w:cs="David"/>
          <w:rtl/>
        </w:rPr>
        <w:t xml:space="preserve"> </w:t>
      </w:r>
      <w:r w:rsidRPr="00DA23EB">
        <w:rPr>
          <w:rFonts w:ascii="David" w:hAnsi="David" w:cs="David" w:hint="eastAsia"/>
          <w:rtl/>
        </w:rPr>
        <w:t>הפליה</w:t>
      </w:r>
      <w:r w:rsidRPr="00DA23EB">
        <w:rPr>
          <w:rFonts w:ascii="David" w:hAnsi="David" w:cs="David"/>
          <w:rtl/>
        </w:rPr>
        <w:t xml:space="preserve"> </w:t>
      </w:r>
      <w:r w:rsidRPr="00DA23EB">
        <w:rPr>
          <w:rFonts w:ascii="David" w:hAnsi="David" w:cs="David" w:hint="eastAsia"/>
          <w:rtl/>
        </w:rPr>
        <w:t>במוצרים</w:t>
      </w:r>
      <w:r w:rsidRPr="00DA23EB">
        <w:rPr>
          <w:rFonts w:ascii="David" w:hAnsi="David" w:cs="David"/>
          <w:rtl/>
        </w:rPr>
        <w:t xml:space="preserve"> </w:t>
      </w:r>
      <w:r w:rsidRPr="00DA23EB">
        <w:rPr>
          <w:rFonts w:ascii="David" w:hAnsi="David" w:cs="David" w:hint="eastAsia"/>
          <w:rtl/>
        </w:rPr>
        <w:t>בשירותים</w:t>
      </w:r>
      <w:r w:rsidRPr="00DA23EB">
        <w:rPr>
          <w:rFonts w:ascii="David" w:hAnsi="David" w:cs="David"/>
          <w:rtl/>
        </w:rPr>
        <w:t xml:space="preserve"> </w:t>
      </w:r>
      <w:r w:rsidRPr="00DA23EB">
        <w:rPr>
          <w:rFonts w:ascii="David" w:hAnsi="David" w:cs="David" w:hint="eastAsia"/>
          <w:rtl/>
        </w:rPr>
        <w:t>ובכניסה</w:t>
      </w:r>
      <w:r w:rsidRPr="00DA23EB">
        <w:rPr>
          <w:rFonts w:ascii="David" w:hAnsi="David" w:cs="David"/>
          <w:rtl/>
        </w:rPr>
        <w:t xml:space="preserve"> </w:t>
      </w:r>
      <w:r w:rsidRPr="00DA23EB">
        <w:rPr>
          <w:rFonts w:ascii="David" w:hAnsi="David" w:cs="David" w:hint="eastAsia"/>
          <w:rtl/>
        </w:rPr>
        <w:t>למקומות</w:t>
      </w:r>
      <w:r w:rsidRPr="00DA23EB">
        <w:rPr>
          <w:rFonts w:ascii="David" w:hAnsi="David" w:cs="David"/>
          <w:rtl/>
        </w:rPr>
        <w:t xml:space="preserve"> </w:t>
      </w:r>
      <w:r w:rsidRPr="00DA23EB">
        <w:rPr>
          <w:rFonts w:ascii="David" w:hAnsi="David" w:cs="David" w:hint="eastAsia"/>
          <w:rtl/>
        </w:rPr>
        <w:t>בידור</w:t>
      </w:r>
      <w:r w:rsidRPr="00DA23EB">
        <w:rPr>
          <w:rFonts w:ascii="David" w:hAnsi="David" w:cs="David"/>
          <w:rtl/>
        </w:rPr>
        <w:t xml:space="preserve"> </w:t>
      </w:r>
      <w:r w:rsidRPr="00DA23EB">
        <w:rPr>
          <w:rFonts w:ascii="David" w:hAnsi="David" w:cs="David" w:hint="eastAsia"/>
          <w:rtl/>
        </w:rPr>
        <w:t>ולמקומות</w:t>
      </w:r>
      <w:r w:rsidRPr="00DA23EB">
        <w:rPr>
          <w:rFonts w:ascii="David" w:hAnsi="David" w:cs="David"/>
          <w:rtl/>
        </w:rPr>
        <w:t xml:space="preserve"> </w:t>
      </w:r>
      <w:r w:rsidRPr="00DA23EB">
        <w:rPr>
          <w:rFonts w:ascii="David" w:hAnsi="David" w:cs="David" w:hint="eastAsia"/>
          <w:rtl/>
        </w:rPr>
        <w:t>ציבוריים</w:t>
      </w:r>
      <w:r w:rsidRPr="00DA23EB">
        <w:rPr>
          <w:rFonts w:ascii="David" w:hAnsi="David" w:cs="David"/>
          <w:rtl/>
        </w:rPr>
        <w:t xml:space="preserve"> </w:t>
      </w:r>
      <w:r w:rsidRPr="00DA23EB">
        <w:rPr>
          <w:rFonts w:ascii="David" w:hAnsi="David" w:cs="David" w:hint="eastAsia"/>
          <w:rtl/>
        </w:rPr>
        <w:t>התשס</w:t>
      </w:r>
      <w:r w:rsidRPr="00DA23EB">
        <w:rPr>
          <w:rFonts w:ascii="David" w:hAnsi="David" w:cs="David"/>
          <w:rtl/>
        </w:rPr>
        <w:t>"</w:t>
      </w:r>
      <w:r w:rsidRPr="006C347B">
        <w:rPr>
          <w:rFonts w:ascii="David" w:hAnsi="David" w:cs="David"/>
          <w:rtl/>
        </w:rPr>
        <w:t>א- 2000</w:t>
      </w:r>
      <w:r w:rsidRPr="006C347B">
        <w:rPr>
          <w:rFonts w:ascii="David" w:hAnsi="David" w:cs="David" w:hint="cs"/>
          <w:rtl/>
        </w:rPr>
        <w:t>.</w:t>
      </w:r>
      <w:r w:rsidR="006C347B" w:rsidRPr="006C347B">
        <w:rPr>
          <w:rFonts w:ascii="David" w:hAnsi="David" w:cs="David" w:hint="cs"/>
          <w:rtl/>
        </w:rPr>
        <w:t xml:space="preserve"> </w:t>
      </w:r>
      <w:r w:rsidR="006C347B">
        <w:rPr>
          <w:rFonts w:ascii="David" w:hAnsi="David" w:cs="David" w:hint="cs"/>
          <w:rtl/>
        </w:rPr>
        <w:t>המשיבה נתבקשה</w:t>
      </w:r>
      <w:r w:rsidR="006C347B" w:rsidRPr="006C347B">
        <w:rPr>
          <w:rFonts w:cs="David"/>
          <w:rtl/>
        </w:rPr>
        <w:t xml:space="preserve"> לאפשר לכל הזוגות המעוניינים בכך לקחת חלק במיזם ולהינשא במקומות המוצעים על ידי העירייה, וזאת ללא קשר לשאל</w:t>
      </w:r>
      <w:r w:rsidR="006C347B" w:rsidRPr="006C347B">
        <w:rPr>
          <w:rFonts w:cs="David" w:hint="cs"/>
          <w:rtl/>
        </w:rPr>
        <w:t>ת</w:t>
      </w:r>
      <w:r w:rsidR="006C347B" w:rsidRPr="006C347B">
        <w:rPr>
          <w:rFonts w:cs="David"/>
          <w:rtl/>
        </w:rPr>
        <w:t xml:space="preserve"> אופי טקס הנישואין</w:t>
      </w:r>
      <w:r w:rsidR="006C347B" w:rsidRPr="006C347B">
        <w:rPr>
          <w:rFonts w:cs="David" w:hint="cs"/>
          <w:rtl/>
        </w:rPr>
        <w:t xml:space="preserve"> וללא כל אפליה וכן ליידע את הציבור על כך בכל האמצעים בהם פורסם המיזם.</w:t>
      </w:r>
      <w:r w:rsidR="006C347B">
        <w:rPr>
          <w:rFonts w:cs="David" w:hint="cs"/>
          <w:rtl/>
        </w:rPr>
        <w:t xml:space="preserve"> המשיבה נתבקשה להגיב בדחיפות לפנייה.</w:t>
      </w:r>
    </w:p>
    <w:p w14:paraId="32C7016C" w14:textId="0B10B2B6" w:rsidR="006C347B" w:rsidRDefault="006C347B" w:rsidP="002C2765">
      <w:pPr>
        <w:tabs>
          <w:tab w:val="num" w:pos="540"/>
        </w:tabs>
        <w:spacing w:before="240" w:line="360" w:lineRule="auto"/>
        <w:ind w:left="510"/>
        <w:jc w:val="both"/>
        <w:rPr>
          <w:rFonts w:cs="David"/>
          <w:rtl/>
        </w:rPr>
      </w:pPr>
      <w:r>
        <w:rPr>
          <w:rFonts w:cs="David" w:hint="cs"/>
          <w:rtl/>
        </w:rPr>
        <w:t xml:space="preserve">פניית העותרות </w:t>
      </w:r>
      <w:r w:rsidR="002C2765">
        <w:rPr>
          <w:rFonts w:cs="David" w:hint="cs"/>
          <w:rtl/>
        </w:rPr>
        <w:t>3-4</w:t>
      </w:r>
      <w:r>
        <w:rPr>
          <w:rFonts w:cs="David" w:hint="cs"/>
          <w:rtl/>
        </w:rPr>
        <w:t xml:space="preserve"> מצ"ב ומסומנת </w:t>
      </w:r>
      <w:r w:rsidRPr="00160B30">
        <w:rPr>
          <w:rFonts w:cs="David" w:hint="cs"/>
          <w:b/>
          <w:bCs/>
          <w:u w:val="single"/>
          <w:rtl/>
        </w:rPr>
        <w:t>נספח ב'</w:t>
      </w:r>
      <w:r>
        <w:rPr>
          <w:rFonts w:cs="David" w:hint="cs"/>
          <w:rtl/>
        </w:rPr>
        <w:t>.</w:t>
      </w:r>
    </w:p>
    <w:p w14:paraId="178E6447" w14:textId="2E83F37B" w:rsidR="006C347B" w:rsidRDefault="006C347B" w:rsidP="006E0FC9">
      <w:pPr>
        <w:numPr>
          <w:ilvl w:val="0"/>
          <w:numId w:val="4"/>
        </w:numPr>
        <w:tabs>
          <w:tab w:val="num" w:pos="540"/>
        </w:tabs>
        <w:spacing w:before="240" w:line="360" w:lineRule="auto"/>
        <w:jc w:val="both"/>
        <w:rPr>
          <w:rFonts w:cs="David"/>
        </w:rPr>
      </w:pPr>
      <w:r>
        <w:rPr>
          <w:rFonts w:cs="David" w:hint="cs"/>
          <w:rtl/>
        </w:rPr>
        <w:t>רק לאחר פניות נוספות של הח"מ ליועץ המשפטי של המשיבה באמצעות הווטסאפ, שלחה המשיבה את תשובתה ביום 29.7.20.</w:t>
      </w:r>
      <w:r w:rsidR="00C27038">
        <w:rPr>
          <w:rFonts w:cs="David" w:hint="cs"/>
          <w:rtl/>
        </w:rPr>
        <w:t xml:space="preserve"> בתשובה צוין כי העירייה מאפשרת קיום ארועי נישואים בלבד ולא ארועים אחרים</w:t>
      </w:r>
      <w:r w:rsidR="007757C7">
        <w:rPr>
          <w:rFonts w:cs="David" w:hint="cs"/>
          <w:rtl/>
        </w:rPr>
        <w:t xml:space="preserve"> (כמו מסיבות המוניות)</w:t>
      </w:r>
      <w:r w:rsidR="00C27038">
        <w:rPr>
          <w:rFonts w:cs="David" w:hint="cs"/>
          <w:rtl/>
        </w:rPr>
        <w:t>, המתקיימים במסווה של חתונה. לפיכך המיזם מופנה לכל תושב ירושלים העומד להינשא על פי</w:t>
      </w:r>
      <w:r w:rsidR="00203097">
        <w:rPr>
          <w:rFonts w:cs="David"/>
        </w:rPr>
        <w:t xml:space="preserve"> </w:t>
      </w:r>
      <w:r w:rsidR="00C27038">
        <w:rPr>
          <w:rFonts w:cs="David" w:hint="cs"/>
          <w:rtl/>
        </w:rPr>
        <w:t>הדין בישראל.</w:t>
      </w:r>
      <w:r w:rsidR="007A39CC">
        <w:rPr>
          <w:rFonts w:cs="David"/>
        </w:rPr>
        <w:t xml:space="preserve"> </w:t>
      </w:r>
      <w:r w:rsidR="007A39CC">
        <w:rPr>
          <w:rFonts w:cs="David" w:hint="cs"/>
          <w:rtl/>
        </w:rPr>
        <w:t xml:space="preserve">לתשובה צורף כתב התחייבות עליו צריכים לחתום המשתתפים במיזם בו מצוין </w:t>
      </w:r>
      <w:r w:rsidR="006E0FC9">
        <w:rPr>
          <w:rFonts w:cs="David" w:hint="cs"/>
          <w:rtl/>
        </w:rPr>
        <w:t xml:space="preserve">כי הזוג המבקש להינשא עומד בכל דרישות התכנית המפורטות בנספח א'. </w:t>
      </w:r>
      <w:r w:rsidR="00DB03E5">
        <w:rPr>
          <w:rFonts w:cs="David" w:hint="cs"/>
          <w:rtl/>
        </w:rPr>
        <w:t>סעיף 2 לנספח א'</w:t>
      </w:r>
      <w:r w:rsidR="006E0FC9">
        <w:rPr>
          <w:rFonts w:cs="David" w:hint="cs"/>
          <w:rtl/>
        </w:rPr>
        <w:t xml:space="preserve"> קובע </w:t>
      </w:r>
      <w:r w:rsidR="00DB03E5">
        <w:rPr>
          <w:rFonts w:cs="David" w:hint="cs"/>
          <w:rtl/>
        </w:rPr>
        <w:t>כי "</w:t>
      </w:r>
      <w:r w:rsidR="00DB03E5" w:rsidRPr="0011147B">
        <w:rPr>
          <w:rFonts w:cs="David" w:hint="cs"/>
          <w:b/>
          <w:bCs/>
          <w:rtl/>
        </w:rPr>
        <w:t>יש לצרף אסמכתא על רישום לנישואין על פי חוקי מדינת ישראל או לחילופין הזוג מצהיר בחתימתם על מסמך זהכי הוא נרשם לנישואין על פי חוקי מדינת ישראל.</w:t>
      </w:r>
      <w:r w:rsidR="00DB03E5">
        <w:rPr>
          <w:rFonts w:cs="David" w:hint="cs"/>
          <w:rtl/>
        </w:rPr>
        <w:t>"</w:t>
      </w:r>
    </w:p>
    <w:p w14:paraId="4CA9BBAD" w14:textId="7608BA19" w:rsidR="00C27038" w:rsidRDefault="00FB3CCC" w:rsidP="00C27038">
      <w:pPr>
        <w:tabs>
          <w:tab w:val="num" w:pos="540"/>
        </w:tabs>
        <w:spacing w:before="240" w:line="360" w:lineRule="auto"/>
        <w:ind w:left="510"/>
        <w:jc w:val="both"/>
        <w:rPr>
          <w:rFonts w:cs="David"/>
        </w:rPr>
      </w:pPr>
      <w:r>
        <w:rPr>
          <w:rFonts w:cs="David" w:hint="cs"/>
          <w:rtl/>
        </w:rPr>
        <w:t xml:space="preserve">תשובת המשיבה </w:t>
      </w:r>
      <w:r w:rsidR="00142D18">
        <w:rPr>
          <w:rFonts w:cs="David" w:hint="cs"/>
          <w:rtl/>
        </w:rPr>
        <w:t xml:space="preserve">אליה צורף כתב ההתחייבות </w:t>
      </w:r>
      <w:r>
        <w:rPr>
          <w:rFonts w:cs="David" w:hint="cs"/>
          <w:rtl/>
        </w:rPr>
        <w:t>מצ"ב</w:t>
      </w:r>
      <w:r w:rsidR="00C27038">
        <w:rPr>
          <w:rFonts w:cs="David" w:hint="cs"/>
          <w:rtl/>
        </w:rPr>
        <w:t xml:space="preserve"> ומסומנת </w:t>
      </w:r>
      <w:r w:rsidR="00C27038" w:rsidRPr="00160B30">
        <w:rPr>
          <w:rFonts w:cs="David" w:hint="cs"/>
          <w:b/>
          <w:bCs/>
          <w:u w:val="single"/>
          <w:rtl/>
        </w:rPr>
        <w:t>נספח ג'</w:t>
      </w:r>
      <w:r w:rsidR="00C27038">
        <w:rPr>
          <w:rFonts w:cs="David" w:hint="cs"/>
          <w:rtl/>
        </w:rPr>
        <w:t>.</w:t>
      </w:r>
    </w:p>
    <w:p w14:paraId="2691CB6B" w14:textId="77777777" w:rsidR="00C27038" w:rsidRPr="006C347B" w:rsidRDefault="00C27038" w:rsidP="00C27038">
      <w:pPr>
        <w:numPr>
          <w:ilvl w:val="0"/>
          <w:numId w:val="4"/>
        </w:numPr>
        <w:tabs>
          <w:tab w:val="num" w:pos="540"/>
        </w:tabs>
        <w:spacing w:before="240" w:line="360" w:lineRule="auto"/>
        <w:jc w:val="both"/>
        <w:rPr>
          <w:rFonts w:cs="David"/>
        </w:rPr>
      </w:pPr>
      <w:r>
        <w:rPr>
          <w:rFonts w:cs="David" w:hint="cs"/>
          <w:rtl/>
        </w:rPr>
        <w:lastRenderedPageBreak/>
        <w:t>הואיל והמשיבה עמדה על סירובה שלא לאפשר לזוגות שאינם נישאים ברבנות לעשות שימוש במיזם, ונוכח סד הזמנים הקצר, לא נותרה בידי העותרות ברירה אלא לפנות לבית המשפט הנכבד שיורה למשיבה לפעול כחוק.</w:t>
      </w:r>
    </w:p>
    <w:p w14:paraId="42358D1B" w14:textId="77777777" w:rsidR="00C43395" w:rsidRPr="00E43432" w:rsidRDefault="00522047" w:rsidP="00E36628">
      <w:pPr>
        <w:spacing w:before="240" w:after="240" w:line="360" w:lineRule="auto"/>
        <w:ind w:left="-58"/>
        <w:jc w:val="both"/>
        <w:rPr>
          <w:rFonts w:ascii="David" w:hAnsi="David" w:cs="David"/>
          <w:b/>
          <w:bCs/>
          <w:sz w:val="32"/>
          <w:szCs w:val="32"/>
          <w:u w:val="single"/>
          <w:rtl/>
        </w:rPr>
      </w:pPr>
      <w:r w:rsidRPr="00E43432">
        <w:rPr>
          <w:rFonts w:ascii="David" w:hAnsi="David" w:cs="David"/>
          <w:b/>
          <w:bCs/>
          <w:sz w:val="32"/>
          <w:szCs w:val="32"/>
          <w:u w:val="single"/>
          <w:rtl/>
        </w:rPr>
        <w:t>הטיעון</w:t>
      </w:r>
      <w:r w:rsidR="00C43395" w:rsidRPr="00E43432">
        <w:rPr>
          <w:rFonts w:ascii="David" w:hAnsi="David" w:cs="David"/>
          <w:b/>
          <w:bCs/>
          <w:sz w:val="32"/>
          <w:szCs w:val="32"/>
          <w:u w:val="single"/>
          <w:rtl/>
        </w:rPr>
        <w:t xml:space="preserve"> </w:t>
      </w:r>
      <w:r w:rsidRPr="00E43432">
        <w:rPr>
          <w:rFonts w:ascii="David" w:hAnsi="David" w:cs="David"/>
          <w:b/>
          <w:bCs/>
          <w:sz w:val="32"/>
          <w:szCs w:val="32"/>
          <w:u w:val="single"/>
          <w:rtl/>
        </w:rPr>
        <w:t>ה</w:t>
      </w:r>
      <w:r w:rsidR="00FB3CCC">
        <w:rPr>
          <w:rFonts w:ascii="David" w:hAnsi="David" w:cs="David"/>
          <w:b/>
          <w:bCs/>
          <w:sz w:val="32"/>
          <w:szCs w:val="32"/>
          <w:u w:val="single"/>
          <w:rtl/>
        </w:rPr>
        <w:t>משפטי</w:t>
      </w:r>
    </w:p>
    <w:p w14:paraId="1B73185B" w14:textId="2DA441CB" w:rsidR="009450EE" w:rsidRDefault="009450EE" w:rsidP="00AB6DF7">
      <w:pPr>
        <w:numPr>
          <w:ilvl w:val="0"/>
          <w:numId w:val="4"/>
        </w:numPr>
        <w:tabs>
          <w:tab w:val="num" w:pos="540"/>
        </w:tabs>
        <w:spacing w:before="240" w:line="360" w:lineRule="auto"/>
        <w:jc w:val="both"/>
        <w:rPr>
          <w:rFonts w:ascii="David" w:hAnsi="David" w:cs="David"/>
        </w:rPr>
      </w:pPr>
      <w:r>
        <w:rPr>
          <w:rFonts w:ascii="David" w:hAnsi="David" w:cs="David" w:hint="cs"/>
          <w:rtl/>
        </w:rPr>
        <w:t xml:space="preserve">כפי שיפורט להלן, מדיניותה של המשיבה </w:t>
      </w:r>
      <w:r>
        <w:rPr>
          <w:rFonts w:ascii="David" w:hAnsi="David" w:cs="David"/>
          <w:rtl/>
        </w:rPr>
        <w:t>–</w:t>
      </w:r>
      <w:r>
        <w:rPr>
          <w:rFonts w:ascii="David" w:hAnsi="David" w:cs="David" w:hint="cs"/>
          <w:rtl/>
        </w:rPr>
        <w:t xml:space="preserve"> לאפשר רק למי שנרשם לנישואין, דהיינו לגבי יהודים </w:t>
      </w:r>
      <w:r>
        <w:rPr>
          <w:rFonts w:ascii="David" w:hAnsi="David" w:cs="David"/>
          <w:rtl/>
        </w:rPr>
        <w:t>–</w:t>
      </w:r>
      <w:r>
        <w:rPr>
          <w:rFonts w:ascii="David" w:hAnsi="David" w:cs="David" w:hint="cs"/>
          <w:rtl/>
        </w:rPr>
        <w:t xml:space="preserve"> זוגות הטרוסקסואליים שנישאים בנישואים אורתודוכסיים באמצעות הרבנות </w:t>
      </w:r>
      <w:r>
        <w:rPr>
          <w:rFonts w:ascii="David" w:hAnsi="David" w:cs="David"/>
          <w:rtl/>
        </w:rPr>
        <w:t>–</w:t>
      </w:r>
      <w:r>
        <w:rPr>
          <w:rFonts w:ascii="David" w:hAnsi="David" w:cs="David" w:hint="cs"/>
          <w:rtl/>
        </w:rPr>
        <w:t xml:space="preserve"> </w:t>
      </w:r>
      <w:r w:rsidR="00E77EE2">
        <w:rPr>
          <w:rFonts w:ascii="David" w:hAnsi="David" w:cs="David" w:hint="cs"/>
          <w:rtl/>
        </w:rPr>
        <w:t xml:space="preserve">לקחת חלק במיזם - </w:t>
      </w:r>
      <w:r>
        <w:rPr>
          <w:rFonts w:ascii="David" w:hAnsi="David" w:cs="David" w:hint="cs"/>
          <w:rtl/>
        </w:rPr>
        <w:t xml:space="preserve">יש בה הפליה קשה, פגיעה </w:t>
      </w:r>
      <w:r w:rsidR="00AB6DF7">
        <w:rPr>
          <w:rFonts w:ascii="David" w:hAnsi="David" w:cs="David" w:hint="cs"/>
          <w:rtl/>
        </w:rPr>
        <w:t xml:space="preserve">בכבוד, בזכות לאוטונומיה, </w:t>
      </w:r>
      <w:r>
        <w:rPr>
          <w:rFonts w:ascii="David" w:hAnsi="David" w:cs="David" w:hint="cs"/>
          <w:rtl/>
        </w:rPr>
        <w:t>בחופש הדת</w:t>
      </w:r>
      <w:r w:rsidR="00E77EE2">
        <w:rPr>
          <w:rFonts w:ascii="David" w:hAnsi="David" w:cs="David" w:hint="cs"/>
          <w:rtl/>
        </w:rPr>
        <w:t xml:space="preserve"> ובעקרון הפלורליזם</w:t>
      </w:r>
      <w:r>
        <w:rPr>
          <w:rFonts w:ascii="David" w:hAnsi="David" w:cs="David" w:hint="cs"/>
          <w:rtl/>
        </w:rPr>
        <w:t xml:space="preserve">, התנהלות בלתי סבירה ובלתי מידתית, </w:t>
      </w:r>
      <w:r w:rsidR="00AB6DF7">
        <w:rPr>
          <w:rFonts w:ascii="David" w:hAnsi="David" w:cs="David" w:hint="cs"/>
          <w:rtl/>
        </w:rPr>
        <w:t xml:space="preserve">העומדת בניגוד לפסקת ההגבלה בחוק יסוד: כבוד האדם וחירותו. </w:t>
      </w:r>
      <w:r>
        <w:rPr>
          <w:rFonts w:ascii="David" w:hAnsi="David" w:cs="David" w:hint="cs"/>
          <w:rtl/>
        </w:rPr>
        <w:t>העובדה שקיימת אפליה בכל הנוגע להכרה בטקסי נישואים מחוץ לרבנות אינה יכולה להצדיק אפליה במישור אחר של חלוקת משאבים עירוניים. משכך, יש להורות על הפסקת האפליה ופתיחת המיזם לכל טקס נישואים של תושבי העיר.</w:t>
      </w:r>
    </w:p>
    <w:p w14:paraId="297A22D7" w14:textId="117CC43E" w:rsidR="00C43395" w:rsidRPr="00E43432" w:rsidRDefault="00F65632" w:rsidP="00F65632">
      <w:pPr>
        <w:tabs>
          <w:tab w:val="num" w:pos="540"/>
        </w:tabs>
        <w:spacing w:before="240" w:line="360" w:lineRule="auto"/>
        <w:jc w:val="both"/>
        <w:rPr>
          <w:rFonts w:ascii="David" w:hAnsi="David" w:cs="David"/>
          <w:b/>
          <w:bCs/>
          <w:u w:val="single"/>
          <w:rtl/>
        </w:rPr>
      </w:pPr>
      <w:r>
        <w:rPr>
          <w:rFonts w:ascii="David" w:hAnsi="David" w:cs="David" w:hint="cs"/>
          <w:b/>
          <w:bCs/>
          <w:u w:val="single"/>
          <w:rtl/>
        </w:rPr>
        <w:t>פגיעה ב</w:t>
      </w:r>
      <w:r w:rsidR="00125CFB" w:rsidRPr="00E43432">
        <w:rPr>
          <w:rFonts w:ascii="David" w:hAnsi="David" w:cs="David"/>
          <w:b/>
          <w:bCs/>
          <w:u w:val="single"/>
          <w:rtl/>
        </w:rPr>
        <w:t>שוויון</w:t>
      </w:r>
    </w:p>
    <w:p w14:paraId="4D976C65" w14:textId="77777777" w:rsidR="00C43395" w:rsidRPr="00E43432" w:rsidRDefault="00125CFB" w:rsidP="00E36628">
      <w:pPr>
        <w:numPr>
          <w:ilvl w:val="0"/>
          <w:numId w:val="4"/>
        </w:numPr>
        <w:tabs>
          <w:tab w:val="num" w:pos="540"/>
        </w:tabs>
        <w:spacing w:before="240" w:line="360" w:lineRule="auto"/>
        <w:jc w:val="both"/>
        <w:rPr>
          <w:rFonts w:ascii="David" w:hAnsi="David" w:cs="David"/>
        </w:rPr>
      </w:pPr>
      <w:r w:rsidRPr="00E43432">
        <w:rPr>
          <w:rFonts w:ascii="David" w:hAnsi="David" w:cs="David"/>
          <w:rtl/>
        </w:rPr>
        <w:t>שורה ארוכה של פסקי דין עמדו</w:t>
      </w:r>
      <w:r w:rsidR="00C43395" w:rsidRPr="00E43432">
        <w:rPr>
          <w:rFonts w:ascii="David" w:hAnsi="David" w:cs="David"/>
          <w:rtl/>
        </w:rPr>
        <w:t xml:space="preserve"> על חשיבותו ומעמדו של עקרון השוויון במשפט הישראלי. עקרון השוויון הוא "מנשמת אפו של המשטר החוקתי שלנו כולו" (השופט לנדוי בבג"ץ 98/69 </w:t>
      </w:r>
      <w:r w:rsidR="00C43395" w:rsidRPr="00E43432">
        <w:rPr>
          <w:rFonts w:ascii="David" w:hAnsi="David" w:cs="David"/>
          <w:b/>
          <w:bCs/>
          <w:rtl/>
        </w:rPr>
        <w:t>ברגמן</w:t>
      </w:r>
      <w:r w:rsidR="00C43395" w:rsidRPr="00E43432">
        <w:rPr>
          <w:rFonts w:ascii="David" w:hAnsi="David" w:cs="David"/>
          <w:rtl/>
        </w:rPr>
        <w:t xml:space="preserve"> </w:t>
      </w:r>
      <w:r w:rsidR="00C43395" w:rsidRPr="00E43432">
        <w:rPr>
          <w:rFonts w:ascii="David" w:hAnsi="David" w:cs="David"/>
          <w:b/>
          <w:bCs/>
          <w:rtl/>
        </w:rPr>
        <w:t>נ' שר-האוצר</w:t>
      </w:r>
      <w:r w:rsidR="00C43395" w:rsidRPr="00E43432">
        <w:rPr>
          <w:rFonts w:ascii="David" w:hAnsi="David" w:cs="David"/>
          <w:rtl/>
        </w:rPr>
        <w:t>, פ"ד כג(1) 693). כדברי הנשיא ברק:</w:t>
      </w:r>
    </w:p>
    <w:p w14:paraId="452633CF" w14:textId="77777777" w:rsidR="00C43395" w:rsidRPr="00E43432" w:rsidRDefault="00C43395" w:rsidP="00E36628">
      <w:pPr>
        <w:pStyle w:val="af"/>
        <w:spacing w:before="240" w:line="360" w:lineRule="auto"/>
        <w:rPr>
          <w:rFonts w:ascii="David" w:hAnsi="David"/>
          <w:sz w:val="24"/>
          <w:szCs w:val="24"/>
          <w:rtl/>
        </w:rPr>
      </w:pPr>
      <w:r w:rsidRPr="00E43432">
        <w:rPr>
          <w:rFonts w:ascii="David" w:hAnsi="David"/>
          <w:sz w:val="24"/>
          <w:szCs w:val="24"/>
          <w:rtl/>
        </w:rPr>
        <w:t xml:space="preserve">"השוויון הוא ערך יסודי לכל חברה דמוקרטית, "אשר המשפט של כל מדינה דמוקרטית שואף, מטעמים של צדק והגינות, להמחישו"... הפרט משתלב למרקם הכולל ונושא בחלקו בבנית החברה, בידעו שגם האחרים עושים כמוהו. הצורך להבטיח שוויון הוא טבעי לאדם. הוא מבוסס על שיקולים של צדק והגינות. המבקש הכרה בזכותו, צריך להכיר בזכותו של הזולת לבקש הכרה דומה. הצורך לקיים שוויון הוא חיוני לחברה ולהסכמה החברתית עליה היא בנויה. השוויון שומר על השלטון מפני השרירות. אכן, אין לך גורם הרסני יותר לחברה מאשר תחושת בניה ובנותיה, כי נוהגים בהם איפה ואיפה. תחושת חוסר השוויון היא מהקשה שבתחושות. היא פוגעת בכוחות המאחדים את החברה. היא פוגעת בזהותו העצמית של האדם". </w:t>
      </w:r>
    </w:p>
    <w:p w14:paraId="659E7339" w14:textId="77777777" w:rsidR="00C43395" w:rsidRPr="00E43432" w:rsidRDefault="00C43395" w:rsidP="00E36628">
      <w:pPr>
        <w:pStyle w:val="af"/>
        <w:spacing w:before="240" w:line="360" w:lineRule="auto"/>
        <w:rPr>
          <w:rFonts w:ascii="David" w:hAnsi="David"/>
          <w:sz w:val="24"/>
          <w:szCs w:val="24"/>
        </w:rPr>
      </w:pPr>
      <w:r w:rsidRPr="00E43432">
        <w:rPr>
          <w:rFonts w:ascii="David" w:hAnsi="David"/>
          <w:sz w:val="24"/>
          <w:szCs w:val="24"/>
          <w:rtl/>
        </w:rPr>
        <w:t xml:space="preserve">בג"צ 953/87 </w:t>
      </w:r>
      <w:r w:rsidRPr="00E43432">
        <w:rPr>
          <w:rFonts w:ascii="David" w:hAnsi="David"/>
          <w:b/>
          <w:bCs/>
          <w:sz w:val="24"/>
          <w:szCs w:val="24"/>
          <w:rtl/>
        </w:rPr>
        <w:t>פורז נ' מועצת עירית תל-אביב,</w:t>
      </w:r>
      <w:r w:rsidRPr="00E43432">
        <w:rPr>
          <w:rFonts w:ascii="David" w:hAnsi="David"/>
          <w:sz w:val="24"/>
          <w:szCs w:val="24"/>
          <w:rtl/>
        </w:rPr>
        <w:t xml:space="preserve"> פ"ד מב(2) 309, 333-332.</w:t>
      </w:r>
    </w:p>
    <w:p w14:paraId="0AB7488C" w14:textId="77777777" w:rsidR="00747F2F" w:rsidRDefault="00747F2F" w:rsidP="00075B9F">
      <w:pPr>
        <w:numPr>
          <w:ilvl w:val="0"/>
          <w:numId w:val="4"/>
        </w:numPr>
        <w:tabs>
          <w:tab w:val="num" w:pos="540"/>
        </w:tabs>
        <w:spacing w:before="240" w:line="360" w:lineRule="auto"/>
        <w:jc w:val="both"/>
        <w:rPr>
          <w:rFonts w:ascii="David" w:hAnsi="David" w:cs="David"/>
        </w:rPr>
      </w:pPr>
      <w:r w:rsidRPr="00E43432">
        <w:rPr>
          <w:rFonts w:ascii="David" w:hAnsi="David" w:cs="David"/>
          <w:rtl/>
        </w:rPr>
        <w:t xml:space="preserve">עקרון השוויון מחייב כל גוף ציבורי במדינה והוא חל, בראש ובראשונה, על הקצאת משאבי הציבור. עקרון השוויון חל גם על </w:t>
      </w:r>
      <w:r>
        <w:rPr>
          <w:rFonts w:ascii="David" w:hAnsi="David" w:cs="David" w:hint="cs"/>
          <w:rtl/>
        </w:rPr>
        <w:t>המשיבה</w:t>
      </w:r>
      <w:r w:rsidRPr="00E43432">
        <w:rPr>
          <w:rFonts w:ascii="David" w:hAnsi="David" w:cs="David"/>
          <w:rtl/>
        </w:rPr>
        <w:t xml:space="preserve"> ומוטלת עליה חובה פוזיטיבית להתנהל בשוויון בבואה לחלק משאב ציבורי: "המשאבים של המדינה, אם קרקע ואם כסף, וכן גם משאבים אחרים, שייכים לכל האזרחים, וכל האזרחים זכאים ליהנות מהם על פי עקרון השוויון, ללא </w:t>
      </w:r>
      <w:r w:rsidRPr="00E43432">
        <w:rPr>
          <w:rFonts w:ascii="David" w:hAnsi="David" w:cs="David"/>
          <w:rtl/>
        </w:rPr>
        <w:lastRenderedPageBreak/>
        <w:t xml:space="preserve">הפליה מחמת דת, גזע, מין או שיקול פסול אחר" (בג"ץ 1113/99 </w:t>
      </w:r>
      <w:r w:rsidRPr="00FC6B85">
        <w:rPr>
          <w:rFonts w:ascii="David" w:hAnsi="David" w:cs="David"/>
          <w:b/>
          <w:bCs/>
          <w:rtl/>
        </w:rPr>
        <w:t>עדאלה נ' השר לענייני דתות</w:t>
      </w:r>
      <w:r w:rsidR="00075B9F">
        <w:rPr>
          <w:rFonts w:ascii="David" w:hAnsi="David" w:cs="David"/>
          <w:rtl/>
        </w:rPr>
        <w:t>, פ"ד נד(2) , 164</w:t>
      </w:r>
      <w:r w:rsidRPr="00E43432">
        <w:rPr>
          <w:rFonts w:ascii="David" w:hAnsi="David" w:cs="David"/>
          <w:rtl/>
        </w:rPr>
        <w:t>).</w:t>
      </w:r>
    </w:p>
    <w:p w14:paraId="3466D97C" w14:textId="77777777" w:rsidR="00DF37DB" w:rsidRDefault="00DF37DB" w:rsidP="00DF37DB">
      <w:pPr>
        <w:numPr>
          <w:ilvl w:val="0"/>
          <w:numId w:val="4"/>
        </w:numPr>
        <w:tabs>
          <w:tab w:val="num" w:pos="540"/>
        </w:tabs>
        <w:spacing w:before="240" w:line="360" w:lineRule="auto"/>
        <w:jc w:val="both"/>
        <w:rPr>
          <w:rtl/>
        </w:rPr>
      </w:pPr>
      <w:r>
        <w:rPr>
          <w:rFonts w:ascii="David" w:hAnsi="David" w:cs="David" w:hint="cs"/>
          <w:rtl/>
        </w:rPr>
        <w:t xml:space="preserve">הרשות המקומית מחויבת בחלוקת משאביה באופן שוויוני. אכן, לתושבי העיר אין זכות לכך שהעירייה תעמיד בפניהם את שטחי הציבור בעיר לצורך עריכת חתונות, אולם משהחליטה המשיבה על הענקת משאב זה </w:t>
      </w:r>
      <w:r>
        <w:rPr>
          <w:rFonts w:ascii="David" w:hAnsi="David" w:cs="David"/>
          <w:rtl/>
        </w:rPr>
        <w:t>–</w:t>
      </w:r>
      <w:r>
        <w:rPr>
          <w:rFonts w:ascii="David" w:hAnsi="David" w:cs="David" w:hint="cs"/>
          <w:rtl/>
        </w:rPr>
        <w:t xml:space="preserve"> היא מחויבת לעשות זאת באופן שוויוני:</w:t>
      </w:r>
      <w:r w:rsidRPr="00B277DB">
        <w:rPr>
          <w:color w:val="0000FF"/>
          <w:u w:val="single"/>
          <w:rtl/>
        </w:rPr>
        <w:t xml:space="preserve"> </w:t>
      </w:r>
    </w:p>
    <w:p w14:paraId="68B22D7B" w14:textId="77777777" w:rsidR="00DF37DB" w:rsidRPr="00DF37DB" w:rsidRDefault="00DF37DB" w:rsidP="00DF37DB">
      <w:pPr>
        <w:pStyle w:val="af"/>
        <w:spacing w:before="240" w:line="360" w:lineRule="auto"/>
        <w:rPr>
          <w:rFonts w:ascii="David" w:hAnsi="David"/>
          <w:sz w:val="20"/>
          <w:szCs w:val="24"/>
          <w:rtl/>
        </w:rPr>
      </w:pPr>
      <w:r w:rsidRPr="00DF37DB">
        <w:rPr>
          <w:rFonts w:ascii="David" w:hAnsi="David"/>
          <w:sz w:val="20"/>
          <w:szCs w:val="24"/>
          <w:rtl/>
        </w:rPr>
        <w:t xml:space="preserve">"במקרה שבו מסור לרשות </w:t>
      </w:r>
      <w:r w:rsidRPr="00DF37DB">
        <w:rPr>
          <w:rFonts w:ascii="David" w:hAnsi="David"/>
          <w:sz w:val="24"/>
          <w:szCs w:val="24"/>
          <w:rtl/>
        </w:rPr>
        <w:t>שיקול</w:t>
      </w:r>
      <w:r w:rsidRPr="00DF37DB">
        <w:rPr>
          <w:rFonts w:ascii="David" w:hAnsi="David"/>
          <w:sz w:val="20"/>
          <w:szCs w:val="24"/>
          <w:rtl/>
        </w:rPr>
        <w:t xml:space="preserve"> דעת להעניק הטבה מסוימת הן לפלוני, הן לאחרים, הרי שאף שאין היא מחויבת להעניק את אותה הטבה כלל ועיקר, משבחרה להעניקה לאחרים, אין היא רשאית לשלול את אותה ההטבה מפלוני באין שוני רלוונטי ביניהם [...] כך בדרך כלל, וכך, ביתר שאת, כשמדובר במדיניות של מתן הטבות שמקורן בכספי ציבור". (עע"מ 4515/08 </w:t>
      </w:r>
      <w:r w:rsidRPr="00DF37DB">
        <w:rPr>
          <w:rFonts w:ascii="David" w:hAnsi="David"/>
          <w:b/>
          <w:bCs/>
          <w:sz w:val="20"/>
          <w:szCs w:val="24"/>
          <w:rtl/>
        </w:rPr>
        <w:t>מדינת ישראל נ' נאמן</w:t>
      </w:r>
      <w:r w:rsidRPr="00DF37DB">
        <w:rPr>
          <w:rFonts w:ascii="David" w:hAnsi="David"/>
          <w:sz w:val="20"/>
          <w:szCs w:val="24"/>
          <w:rtl/>
        </w:rPr>
        <w:t xml:space="preserve">, פסקה 16, וראו גם עע"מ 343/09 </w:t>
      </w:r>
      <w:r w:rsidRPr="00DF37DB">
        <w:rPr>
          <w:rFonts w:ascii="David" w:hAnsi="David"/>
          <w:b/>
          <w:bCs/>
          <w:sz w:val="20"/>
          <w:szCs w:val="24"/>
          <w:rtl/>
        </w:rPr>
        <w:t xml:space="preserve">הבית הפתוח בירושלים לגאווה ולסובלנות נ' עירית ירושלים </w:t>
      </w:r>
      <w:r w:rsidRPr="00DF37DB">
        <w:rPr>
          <w:rFonts w:ascii="David" w:hAnsi="David"/>
          <w:sz w:val="20"/>
          <w:szCs w:val="24"/>
          <w:rtl/>
        </w:rPr>
        <w:t>(להלן: ענין</w:t>
      </w:r>
      <w:r w:rsidRPr="00DF37DB">
        <w:rPr>
          <w:rFonts w:ascii="David" w:hAnsi="David"/>
          <w:b/>
          <w:bCs/>
          <w:sz w:val="20"/>
          <w:szCs w:val="24"/>
          <w:rtl/>
        </w:rPr>
        <w:t xml:space="preserve"> הבית הפתוח)</w:t>
      </w:r>
    </w:p>
    <w:p w14:paraId="1687B3CF" w14:textId="7556716A" w:rsidR="00977376" w:rsidRDefault="00C43395" w:rsidP="009450EE">
      <w:pPr>
        <w:numPr>
          <w:ilvl w:val="0"/>
          <w:numId w:val="4"/>
        </w:numPr>
        <w:tabs>
          <w:tab w:val="num" w:pos="540"/>
        </w:tabs>
        <w:spacing w:before="240" w:line="360" w:lineRule="auto"/>
        <w:jc w:val="both"/>
        <w:rPr>
          <w:rFonts w:ascii="David" w:hAnsi="David" w:cs="David"/>
        </w:rPr>
      </w:pPr>
      <w:r w:rsidRPr="009450EE">
        <w:rPr>
          <w:rFonts w:ascii="David" w:hAnsi="David" w:cs="David"/>
          <w:rtl/>
        </w:rPr>
        <w:t>הפליה נוצרת כאשר גורמים השווים מבחינה רלוונטית מטופלים באופן שונה</w:t>
      </w:r>
      <w:r w:rsidR="00977376" w:rsidRPr="009450EE">
        <w:rPr>
          <w:rFonts w:ascii="David" w:hAnsi="David" w:cs="David"/>
          <w:rtl/>
        </w:rPr>
        <w:t xml:space="preserve"> </w:t>
      </w:r>
      <w:r w:rsidR="009450EE">
        <w:rPr>
          <w:rFonts w:ascii="David" w:hAnsi="David" w:cs="David" w:hint="cs"/>
          <w:rtl/>
        </w:rPr>
        <w:t>(</w:t>
      </w:r>
      <w:r w:rsidR="00977376" w:rsidRPr="009450EE">
        <w:rPr>
          <w:rFonts w:ascii="David" w:hAnsi="David" w:cs="David"/>
          <w:rtl/>
        </w:rPr>
        <w:t xml:space="preserve">ד"נ 10/69 </w:t>
      </w:r>
      <w:r w:rsidR="00977376" w:rsidRPr="009450EE">
        <w:rPr>
          <w:rFonts w:ascii="David" w:hAnsi="David" w:cs="David"/>
          <w:b/>
          <w:bCs/>
          <w:rtl/>
        </w:rPr>
        <w:t>בורונובסקי נ. הרבנים הראשיים לישראל</w:t>
      </w:r>
      <w:r w:rsidR="00977376" w:rsidRPr="009450EE">
        <w:rPr>
          <w:rFonts w:ascii="David" w:hAnsi="David" w:cs="David"/>
          <w:rtl/>
        </w:rPr>
        <w:t xml:space="preserve">, פ"ד כה(1) </w:t>
      </w:r>
      <w:r w:rsidR="003674D3">
        <w:rPr>
          <w:rFonts w:ascii="David" w:hAnsi="David" w:cs="David" w:hint="cs"/>
          <w:rtl/>
        </w:rPr>
        <w:t>7).</w:t>
      </w:r>
    </w:p>
    <w:p w14:paraId="7FB43DE9" w14:textId="77777777" w:rsidR="004F34B4" w:rsidRPr="000B6539" w:rsidRDefault="004F34B4" w:rsidP="00B72859">
      <w:pPr>
        <w:numPr>
          <w:ilvl w:val="0"/>
          <w:numId w:val="4"/>
        </w:numPr>
        <w:tabs>
          <w:tab w:val="num" w:pos="540"/>
        </w:tabs>
        <w:spacing w:before="240" w:line="360" w:lineRule="auto"/>
        <w:jc w:val="both"/>
        <w:rPr>
          <w:rFonts w:cs="David"/>
        </w:rPr>
      </w:pPr>
      <w:r w:rsidRPr="000B6539">
        <w:rPr>
          <w:rFonts w:cs="David"/>
          <w:rtl/>
        </w:rPr>
        <w:t xml:space="preserve">המבחן לבדיקת קיומה או אי קיומה של הפליה הוא אובייקטיבי ולא סובייקטיבי. </w:t>
      </w:r>
      <w:r w:rsidRPr="000B6539">
        <w:rPr>
          <w:rFonts w:cs="David"/>
          <w:b/>
          <w:bCs/>
          <w:rtl/>
        </w:rPr>
        <w:t>לצורך קביעת קיומה של הפליה יש לבחון את התוצאה הסופית</w:t>
      </w:r>
      <w:r w:rsidRPr="000B6539">
        <w:rPr>
          <w:rFonts w:cs="David"/>
          <w:rtl/>
        </w:rPr>
        <w:t xml:space="preserve">; אפליה </w:t>
      </w:r>
      <w:r w:rsidRPr="00B72859">
        <w:rPr>
          <w:rFonts w:ascii="David" w:hAnsi="David" w:cs="David"/>
          <w:rtl/>
        </w:rPr>
        <w:t>אסורה</w:t>
      </w:r>
      <w:r w:rsidRPr="000B6539">
        <w:rPr>
          <w:rFonts w:cs="David"/>
          <w:rtl/>
        </w:rPr>
        <w:t xml:space="preserve"> יכולה להתקיים גם בהעדר כוונה או מניע של הפליה מצד יוצרי הנורמה המפלה</w:t>
      </w:r>
      <w:r w:rsidRPr="000B6539">
        <w:rPr>
          <w:rtl/>
        </w:rPr>
        <w:t xml:space="preserve"> </w:t>
      </w:r>
      <w:r w:rsidRPr="000B6539">
        <w:rPr>
          <w:rFonts w:cs="David"/>
          <w:rtl/>
        </w:rPr>
        <w:t xml:space="preserve">(ראו בג"ץ 104/87 </w:t>
      </w:r>
      <w:r w:rsidRPr="000B6539">
        <w:rPr>
          <w:rFonts w:cs="David"/>
          <w:b/>
          <w:bCs/>
          <w:rtl/>
        </w:rPr>
        <w:t>נבו נ' בית הדין הארצי לעבודה</w:t>
      </w:r>
      <w:r w:rsidRPr="000B6539">
        <w:rPr>
          <w:rFonts w:cs="David"/>
          <w:rtl/>
        </w:rPr>
        <w:t xml:space="preserve">, פ"ד מד(4) 749, 759-760; בג"ץ 2671/98 </w:t>
      </w:r>
      <w:r w:rsidRPr="000B6539">
        <w:rPr>
          <w:rFonts w:cs="David"/>
          <w:b/>
          <w:bCs/>
          <w:rtl/>
        </w:rPr>
        <w:t>שדולת הנשים בישראל נ' שר העבודה והרווחה</w:t>
      </w:r>
      <w:r w:rsidRPr="000B6539">
        <w:rPr>
          <w:rFonts w:cs="David"/>
          <w:rtl/>
        </w:rPr>
        <w:t xml:space="preserve">, פ"ד נב(3) 630, 658-659). </w:t>
      </w:r>
    </w:p>
    <w:p w14:paraId="6F09C3CB" w14:textId="169319ED" w:rsidR="00475041" w:rsidRPr="00E018DB" w:rsidRDefault="00B1731E" w:rsidP="002C2765">
      <w:pPr>
        <w:numPr>
          <w:ilvl w:val="0"/>
          <w:numId w:val="4"/>
        </w:numPr>
        <w:tabs>
          <w:tab w:val="num" w:pos="540"/>
        </w:tabs>
        <w:spacing w:before="240" w:line="360" w:lineRule="auto"/>
        <w:jc w:val="both"/>
        <w:rPr>
          <w:rFonts w:ascii="David" w:hAnsi="David" w:cs="David"/>
        </w:rPr>
      </w:pPr>
      <w:r w:rsidRPr="00FC6B85">
        <w:rPr>
          <w:rFonts w:ascii="David" w:hAnsi="David" w:cs="David"/>
          <w:b/>
          <w:bCs/>
          <w:rtl/>
        </w:rPr>
        <w:t>בענייננו</w:t>
      </w:r>
      <w:r w:rsidR="001F4280">
        <w:rPr>
          <w:rFonts w:ascii="David" w:hAnsi="David" w:cs="David" w:hint="cs"/>
          <w:b/>
          <w:bCs/>
          <w:rtl/>
        </w:rPr>
        <w:t>, מבקשת המשיבה לאפשר את קיומן של טקסי חתונה עבור תושבי העיר, שאין להם אפשרות לקיים טקסים אלה, נוכח מגבלות הקורונה</w:t>
      </w:r>
      <w:r w:rsidR="002C2765">
        <w:rPr>
          <w:rFonts w:ascii="David" w:hAnsi="David" w:cs="David" w:hint="cs"/>
          <w:b/>
          <w:bCs/>
          <w:rtl/>
        </w:rPr>
        <w:t>, בדיוק כמו העותרים 1-2</w:t>
      </w:r>
      <w:r w:rsidR="001F4280">
        <w:rPr>
          <w:rFonts w:ascii="David" w:hAnsi="David" w:cs="David" w:hint="cs"/>
          <w:b/>
          <w:bCs/>
          <w:rtl/>
        </w:rPr>
        <w:t>. מבחינה זו, אין שוני שהוא רלבנטי לעניין בין זוגות הנישאים ברבנות לבין זוגות הנישאים באופן אחר</w:t>
      </w:r>
      <w:r w:rsidR="002C2765">
        <w:rPr>
          <w:rFonts w:ascii="David" w:hAnsi="David" w:cs="David" w:hint="cs"/>
          <w:b/>
          <w:bCs/>
          <w:rtl/>
        </w:rPr>
        <w:t>, כמו העותרים 1-2</w:t>
      </w:r>
      <w:r w:rsidR="001F4280">
        <w:rPr>
          <w:rFonts w:ascii="David" w:hAnsi="David" w:cs="David" w:hint="cs"/>
          <w:b/>
          <w:bCs/>
          <w:rtl/>
        </w:rPr>
        <w:t>. אין הבדל בין זוגות הטרוסקסואליים לזוגות להט"ב. אלה וגם אלה מבקשים מקום בו יוכלו לחגוג את הארוע המשמעותי, במצב שבו אין ביכולתם לחגוג כפי שהיו רוצים לולא הקורונה.</w:t>
      </w:r>
      <w:r w:rsidR="002C2765">
        <w:rPr>
          <w:rFonts w:ascii="David" w:hAnsi="David" w:cs="David" w:hint="cs"/>
          <w:b/>
          <w:bCs/>
          <w:rtl/>
        </w:rPr>
        <w:t xml:space="preserve"> מניעת האפשרות של העותרים לקיים את טקס חתונתם באחד מהגנים הציבוריים בעיר מבוססת רק על אופי טקס הנישואים שלהם </w:t>
      </w:r>
      <w:r w:rsidR="002C2765">
        <w:rPr>
          <w:rFonts w:ascii="David" w:hAnsi="David" w:cs="David"/>
          <w:b/>
          <w:bCs/>
          <w:rtl/>
        </w:rPr>
        <w:t>–</w:t>
      </w:r>
      <w:r w:rsidR="002C2765">
        <w:rPr>
          <w:rFonts w:ascii="David" w:hAnsi="David" w:cs="David" w:hint="cs"/>
          <w:b/>
          <w:bCs/>
          <w:rtl/>
        </w:rPr>
        <w:t xml:space="preserve"> שאינו רלבנטי כלל למטרת המיזם.</w:t>
      </w:r>
    </w:p>
    <w:p w14:paraId="4B3284C4" w14:textId="77777777" w:rsidR="00DE62FA" w:rsidRDefault="00DE62FA" w:rsidP="00DE62FA">
      <w:pPr>
        <w:numPr>
          <w:ilvl w:val="0"/>
          <w:numId w:val="4"/>
        </w:numPr>
        <w:tabs>
          <w:tab w:val="num" w:pos="360"/>
          <w:tab w:val="num" w:pos="540"/>
        </w:tabs>
        <w:spacing w:before="240" w:line="360" w:lineRule="auto"/>
        <w:jc w:val="both"/>
        <w:rPr>
          <w:rFonts w:ascii="David" w:hAnsi="David" w:cs="David"/>
          <w:color w:val="000000"/>
        </w:rPr>
      </w:pPr>
      <w:r>
        <w:rPr>
          <w:rFonts w:cs="David" w:hint="cs"/>
          <w:rtl/>
        </w:rPr>
        <w:t xml:space="preserve">   </w:t>
      </w:r>
      <w:r w:rsidR="00F65632" w:rsidRPr="00E83E67">
        <w:rPr>
          <w:rFonts w:cs="David"/>
          <w:rtl/>
        </w:rPr>
        <w:t xml:space="preserve">הזכות </w:t>
      </w:r>
      <w:r w:rsidR="00F65632" w:rsidRPr="00F65632">
        <w:rPr>
          <w:rFonts w:ascii="David" w:hAnsi="David" w:cs="David"/>
          <w:color w:val="000000"/>
          <w:rtl/>
        </w:rPr>
        <w:t>לכבוד</w:t>
      </w:r>
      <w:r w:rsidR="00F65632" w:rsidRPr="00E83E67">
        <w:rPr>
          <w:rFonts w:cs="David"/>
          <w:rtl/>
        </w:rPr>
        <w:t xml:space="preserve"> האדם, המעוגנת בחוק יסוד: כבוד האדם וחירותו, כוללת בחובה את הזכות לאי הפליה, או הזכות לשוויון. בית המשפט העליון קבע זה מכבר כי בהפליה על רקע קבוצתי - כמו הפליה מחמת השתייכות דתית </w:t>
      </w:r>
      <w:r w:rsidR="00F65632">
        <w:rPr>
          <w:rFonts w:cs="David" w:hint="cs"/>
          <w:rtl/>
        </w:rPr>
        <w:t xml:space="preserve">או נטייה מינית </w:t>
      </w:r>
      <w:r w:rsidR="00F65632" w:rsidRPr="00E83E67">
        <w:rPr>
          <w:rFonts w:cs="David"/>
          <w:rtl/>
        </w:rPr>
        <w:t xml:space="preserve">- טמונה השפלה עמוקה לקורבן ההפליה, </w:t>
      </w:r>
      <w:r w:rsidRPr="00C84128">
        <w:rPr>
          <w:rFonts w:ascii="David" w:hAnsi="David" w:cs="David"/>
          <w:color w:val="000000"/>
          <w:rtl/>
        </w:rPr>
        <w:t xml:space="preserve">שכן ביסודה של הפליה על רקע קבוצתי </w:t>
      </w:r>
      <w:r>
        <w:rPr>
          <w:rFonts w:ascii="David" w:hAnsi="David" w:cs="David" w:hint="cs"/>
          <w:color w:val="000000"/>
          <w:rtl/>
        </w:rPr>
        <w:t>"</w:t>
      </w:r>
      <w:r w:rsidRPr="00C84128">
        <w:rPr>
          <w:rFonts w:ascii="David" w:hAnsi="David" w:cs="David"/>
          <w:color w:val="000000"/>
          <w:rtl/>
        </w:rPr>
        <w:t xml:space="preserve">עומד ייחוס מעמד נחות למופלה, מעמד שהוא פועל יוצא ממהותו הנחותה כביכול. בכך, טמונה, כמובן, השפלה עמוקה לקורבן ההפליה" </w:t>
      </w:r>
      <w:r w:rsidR="00F65632" w:rsidRPr="00E83E67">
        <w:rPr>
          <w:rFonts w:cs="David"/>
          <w:rtl/>
        </w:rPr>
        <w:t xml:space="preserve">ומכאן שהיא עומדת בסתירה לחוק היסוד (בג"ץ 4541/94 </w:t>
      </w:r>
      <w:r w:rsidR="00F65632" w:rsidRPr="00E83E67">
        <w:rPr>
          <w:rFonts w:cs="David"/>
          <w:b/>
          <w:bCs/>
          <w:rtl/>
        </w:rPr>
        <w:t>מילר נ' שר הבטחון</w:t>
      </w:r>
      <w:r w:rsidR="00F65632" w:rsidRPr="00E83E67">
        <w:rPr>
          <w:rFonts w:cs="David"/>
          <w:rtl/>
        </w:rPr>
        <w:t>, פ"ד מט(4) 94,</w:t>
      </w:r>
      <w:r w:rsidR="00F65632" w:rsidRPr="00E83E67">
        <w:rPr>
          <w:rFonts w:cs="David" w:hint="cs"/>
          <w:rtl/>
        </w:rPr>
        <w:t xml:space="preserve"> 13</w:t>
      </w:r>
      <w:r>
        <w:rPr>
          <w:rFonts w:cs="David" w:hint="cs"/>
          <w:rtl/>
        </w:rPr>
        <w:t>2</w:t>
      </w:r>
      <w:r w:rsidR="00F65632" w:rsidRPr="00E83E67">
        <w:rPr>
          <w:rFonts w:cs="David"/>
          <w:rtl/>
        </w:rPr>
        <w:t xml:space="preserve">). </w:t>
      </w:r>
    </w:p>
    <w:p w14:paraId="6C1C3D00" w14:textId="77777777" w:rsidR="00747F2F" w:rsidRPr="00747F2F" w:rsidRDefault="00747F2F" w:rsidP="00747F2F">
      <w:pPr>
        <w:tabs>
          <w:tab w:val="num" w:pos="540"/>
        </w:tabs>
        <w:spacing w:before="240" w:line="360" w:lineRule="auto"/>
        <w:jc w:val="both"/>
        <w:rPr>
          <w:rFonts w:ascii="David" w:hAnsi="David" w:cs="David"/>
          <w:u w:val="single"/>
        </w:rPr>
      </w:pPr>
      <w:r>
        <w:rPr>
          <w:rFonts w:ascii="David" w:hAnsi="David" w:cs="David" w:hint="cs"/>
          <w:b/>
          <w:bCs/>
          <w:u w:val="single"/>
          <w:rtl/>
        </w:rPr>
        <w:lastRenderedPageBreak/>
        <w:t>הפליה מחמת השתייכות דתית</w:t>
      </w:r>
    </w:p>
    <w:p w14:paraId="125D1520" w14:textId="77777777" w:rsidR="00475041" w:rsidRPr="00E43432" w:rsidRDefault="00475041" w:rsidP="00E018DB">
      <w:pPr>
        <w:numPr>
          <w:ilvl w:val="0"/>
          <w:numId w:val="4"/>
        </w:numPr>
        <w:tabs>
          <w:tab w:val="num" w:pos="540"/>
        </w:tabs>
        <w:spacing w:before="240" w:line="360" w:lineRule="auto"/>
        <w:jc w:val="both"/>
        <w:rPr>
          <w:rFonts w:ascii="David" w:hAnsi="David" w:cs="David"/>
        </w:rPr>
      </w:pPr>
      <w:r w:rsidRPr="00E43432">
        <w:rPr>
          <w:rFonts w:ascii="David" w:hAnsi="David" w:cs="David"/>
          <w:rtl/>
        </w:rPr>
        <w:t xml:space="preserve">מכוח עקרון השוויון, </w:t>
      </w:r>
      <w:r w:rsidR="00E018DB">
        <w:rPr>
          <w:rFonts w:ascii="David" w:hAnsi="David" w:cs="David" w:hint="cs"/>
          <w:rtl/>
        </w:rPr>
        <w:t>על המשיבה להימנע מהפליה המבוססת על השתייכות או השקפה דתית:</w:t>
      </w:r>
      <w:r w:rsidRPr="00E43432">
        <w:rPr>
          <w:rFonts w:ascii="David" w:hAnsi="David" w:cs="David"/>
          <w:rtl/>
        </w:rPr>
        <w:t xml:space="preserve"> </w:t>
      </w:r>
    </w:p>
    <w:p w14:paraId="1800244D" w14:textId="77777777" w:rsidR="00475041" w:rsidRPr="00E43432" w:rsidRDefault="00475041" w:rsidP="00E36628">
      <w:pPr>
        <w:spacing w:before="240" w:line="360" w:lineRule="auto"/>
        <w:ind w:left="1440" w:right="851"/>
        <w:jc w:val="both"/>
        <w:rPr>
          <w:rFonts w:ascii="David" w:hAnsi="David" w:cs="David"/>
          <w:sz w:val="22"/>
          <w:rtl/>
        </w:rPr>
      </w:pPr>
      <w:r w:rsidRPr="00E43432">
        <w:rPr>
          <w:rFonts w:ascii="David" w:hAnsi="David" w:cs="David"/>
          <w:sz w:val="22"/>
          <w:rtl/>
        </w:rPr>
        <w:t>"</w:t>
      </w:r>
      <w:r w:rsidRPr="00E018DB">
        <w:rPr>
          <w:rFonts w:ascii="David" w:hAnsi="David" w:cs="David"/>
          <w:rtl/>
        </w:rPr>
        <w:t>בין היתר נובע מקיומה</w:t>
      </w:r>
      <w:r w:rsidRPr="00E43432">
        <w:rPr>
          <w:rFonts w:ascii="David" w:hAnsi="David" w:cs="David"/>
          <w:sz w:val="22"/>
          <w:rtl/>
        </w:rPr>
        <w:t xml:space="preserve"> של החרות האמורה שינהגו במאמינים במידה של שוויון וכי רשויות השלטון ירחיקו עצמם מכל מעשה או מחדל כלפי המאמינים על זרמיהם, לרבות ארגוניהם ומוסדותיהם, שטעם של הפלייה פסולה מתלווה אליו. מכאן כי </w:t>
      </w:r>
      <w:r w:rsidRPr="00E43432">
        <w:rPr>
          <w:rFonts w:ascii="David" w:hAnsi="David" w:cs="David"/>
          <w:b/>
          <w:bCs/>
          <w:sz w:val="22"/>
          <w:rtl/>
        </w:rPr>
        <w:t>פעולה כללית של רשות שלטונית בתוקף תפקידה הממלכתי מחייבת גישה פתוחה והוגנת, שאינה מותנית דווקא בהזדהות עם השקפתו של זרם זה או אחר אלא מבטאת יחס של שוויון אשר לו זכאים כל הזרמים</w:t>
      </w:r>
      <w:r w:rsidRPr="00E43432">
        <w:rPr>
          <w:rFonts w:ascii="David" w:hAnsi="David" w:cs="David"/>
          <w:sz w:val="22"/>
          <w:rtl/>
        </w:rPr>
        <w:t>." [ההדגשה הוספה]</w:t>
      </w:r>
    </w:p>
    <w:p w14:paraId="587D4FE0" w14:textId="77777777" w:rsidR="00E018DB" w:rsidRDefault="00475041" w:rsidP="004D0CD1">
      <w:pPr>
        <w:spacing w:before="240" w:line="360" w:lineRule="auto"/>
        <w:ind w:left="1440" w:right="851"/>
        <w:jc w:val="both"/>
        <w:rPr>
          <w:rFonts w:ascii="David" w:hAnsi="David" w:cs="David"/>
          <w:sz w:val="22"/>
          <w:rtl/>
        </w:rPr>
      </w:pPr>
      <w:r w:rsidRPr="00E43432">
        <w:rPr>
          <w:rFonts w:ascii="David" w:hAnsi="David" w:cs="David"/>
          <w:sz w:val="22"/>
          <w:rtl/>
        </w:rPr>
        <w:t xml:space="preserve">בג"ץ 650/88 </w:t>
      </w:r>
      <w:r w:rsidRPr="00E43432">
        <w:rPr>
          <w:rFonts w:ascii="David" w:hAnsi="David" w:cs="David"/>
          <w:b/>
          <w:bCs/>
          <w:sz w:val="22"/>
          <w:rtl/>
        </w:rPr>
        <w:t>התנועה ליהדות מתקדמת נ' השר לענייני דתות</w:t>
      </w:r>
      <w:r w:rsidRPr="00E43432">
        <w:rPr>
          <w:rFonts w:ascii="David" w:hAnsi="David" w:cs="David"/>
          <w:sz w:val="22"/>
          <w:rtl/>
        </w:rPr>
        <w:t>, פ</w:t>
      </w:r>
      <w:r w:rsidR="004D0CD1">
        <w:rPr>
          <w:rFonts w:ascii="David" w:hAnsi="David" w:cs="David"/>
          <w:sz w:val="22"/>
          <w:rtl/>
        </w:rPr>
        <w:t>"ד מב(3) 381</w:t>
      </w:r>
      <w:r w:rsidR="00E018DB">
        <w:rPr>
          <w:rFonts w:ascii="David" w:hAnsi="David" w:cs="David" w:hint="cs"/>
          <w:sz w:val="22"/>
          <w:rtl/>
        </w:rPr>
        <w:t>.</w:t>
      </w:r>
    </w:p>
    <w:p w14:paraId="5A6E1D2A" w14:textId="77777777" w:rsidR="00A959A2" w:rsidRPr="00FD51D3" w:rsidRDefault="00A959A2" w:rsidP="00A959A2">
      <w:pPr>
        <w:numPr>
          <w:ilvl w:val="0"/>
          <w:numId w:val="4"/>
        </w:numPr>
        <w:tabs>
          <w:tab w:val="num" w:pos="360"/>
          <w:tab w:val="num" w:pos="540"/>
        </w:tabs>
        <w:spacing w:before="240" w:line="360" w:lineRule="auto"/>
        <w:jc w:val="both"/>
        <w:rPr>
          <w:rFonts w:cs="David"/>
        </w:rPr>
      </w:pPr>
      <w:r w:rsidRPr="00301543">
        <w:rPr>
          <w:rFonts w:cs="David" w:hint="cs"/>
          <w:rtl/>
        </w:rPr>
        <w:t>אדרבא, שקילת השוני הדתי פירושה שיקול זר שאסור היה למשיב</w:t>
      </w:r>
      <w:r>
        <w:rPr>
          <w:rFonts w:cs="David" w:hint="cs"/>
          <w:rtl/>
        </w:rPr>
        <w:t>ה</w:t>
      </w:r>
      <w:r w:rsidRPr="00301543">
        <w:rPr>
          <w:rFonts w:cs="David" w:hint="cs"/>
          <w:rtl/>
        </w:rPr>
        <w:t xml:space="preserve"> לשקול. בעניין זה </w:t>
      </w:r>
      <w:r w:rsidRPr="00FD51D3">
        <w:rPr>
          <w:rFonts w:cs="David" w:hint="cs"/>
          <w:rtl/>
        </w:rPr>
        <w:t>נאמר:</w:t>
      </w:r>
    </w:p>
    <w:p w14:paraId="4D61B776" w14:textId="77777777" w:rsidR="00A959A2" w:rsidRPr="00025D4F" w:rsidRDefault="00A959A2" w:rsidP="00A959A2">
      <w:pPr>
        <w:spacing w:before="240" w:line="360" w:lineRule="auto"/>
        <w:ind w:left="1440" w:right="851"/>
        <w:jc w:val="both"/>
        <w:rPr>
          <w:rFonts w:cs="David"/>
          <w:rtl/>
        </w:rPr>
      </w:pPr>
      <w:r w:rsidRPr="00025D4F">
        <w:rPr>
          <w:rFonts w:cs="David"/>
          <w:rtl/>
        </w:rPr>
        <w:t xml:space="preserve">"אין ספק כי השוני בתפיסה דתית, שהתנועה המסורתית מודה בו במפורש, אינו שיקול ענייני, אלא הוא </w:t>
      </w:r>
      <w:r w:rsidRPr="00A959A2">
        <w:rPr>
          <w:rFonts w:ascii="David" w:hAnsi="David" w:cs="David"/>
          <w:sz w:val="22"/>
          <w:rtl/>
        </w:rPr>
        <w:t>שיקול</w:t>
      </w:r>
      <w:r w:rsidRPr="00025D4F">
        <w:rPr>
          <w:rFonts w:cs="David"/>
          <w:rtl/>
        </w:rPr>
        <w:t xml:space="preserve"> זר ופסול, לצורך מתן תמיכות על ידי משרד הדתות.</w:t>
      </w:r>
      <w:r w:rsidRPr="00025D4F">
        <w:rPr>
          <w:rFonts w:cs="David" w:hint="cs"/>
          <w:rtl/>
        </w:rPr>
        <w:t>..</w:t>
      </w:r>
      <w:r w:rsidRPr="00025D4F">
        <w:rPr>
          <w:rFonts w:cs="David"/>
          <w:rtl/>
        </w:rPr>
        <w:t xml:space="preserve"> לחופש הדת, כמו לזכויות אחרות, יש שתי פנים. מצד אחד, חופש הדת מקנה חירות לכל אדם או גוף לבחור </w:t>
      </w:r>
      <w:r w:rsidR="000525D4" w:rsidRPr="000525D4">
        <w:rPr>
          <w:rFonts w:ascii="David" w:hAnsi="David" w:cs="David"/>
          <w:noProof/>
          <w:rtl/>
          <w:lang w:eastAsia="en-US"/>
        </w:rPr>
        <mc:AlternateContent>
          <mc:Choice Requires="wpg">
            <w:drawing>
              <wp:anchor distT="0" distB="0" distL="114300" distR="114300" simplePos="0" relativeHeight="251659264" behindDoc="0" locked="0" layoutInCell="0" allowOverlap="1" wp14:anchorId="75F29DF2" wp14:editId="77A23729">
                <wp:simplePos x="0" y="0"/>
                <wp:positionH relativeFrom="column">
                  <wp:posOffset>-469900</wp:posOffset>
                </wp:positionH>
                <wp:positionV relativeFrom="margin">
                  <wp:posOffset>342900</wp:posOffset>
                </wp:positionV>
                <wp:extent cx="180975" cy="5185410"/>
                <wp:effectExtent l="0" t="0"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5185410"/>
                          <a:chOff x="0" y="0"/>
                          <a:chExt cx="20000" cy="20000"/>
                        </a:xfrm>
                      </wpg:grpSpPr>
                      <wps:wsp>
                        <wps:cNvPr id="7" name="Rectangle 3"/>
                        <wps:cNvSpPr>
                          <a:spLocks noChangeArrowheads="1"/>
                        </wps:cNvSpPr>
                        <wps:spPr bwMode="auto">
                          <a:xfrm>
                            <a:off x="0" y="0"/>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8DE38" w14:textId="77777777" w:rsidR="001E585F" w:rsidRDefault="001E585F" w:rsidP="000525D4">
                              <w:pPr>
                                <w:rPr>
                                  <w:rtl/>
                                </w:rPr>
                              </w:pPr>
                            </w:p>
                          </w:txbxContent>
                        </wps:txbx>
                        <wps:bodyPr rot="0" vert="horz" wrap="square" lIns="12700" tIns="12700" rIns="12700" bIns="12700" anchor="t" anchorCtr="0" upright="1">
                          <a:noAutofit/>
                        </wps:bodyPr>
                      </wps:wsp>
                      <wps:wsp>
                        <wps:cNvPr id="8" name="Rectangle 4"/>
                        <wps:cNvSpPr>
                          <a:spLocks noChangeArrowheads="1"/>
                        </wps:cNvSpPr>
                        <wps:spPr bwMode="auto">
                          <a:xfrm>
                            <a:off x="0" y="3262"/>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A7186" w14:textId="77777777" w:rsidR="001E585F" w:rsidRDefault="001E585F" w:rsidP="000525D4">
                              <w:pPr>
                                <w:rPr>
                                  <w:rtl/>
                                </w:rPr>
                              </w:pPr>
                            </w:p>
                          </w:txbxContent>
                        </wps:txbx>
                        <wps:bodyPr rot="0" vert="horz" wrap="square" lIns="12700" tIns="12700" rIns="12700" bIns="12700" anchor="t" anchorCtr="0" upright="1">
                          <a:noAutofit/>
                        </wps:bodyPr>
                      </wps:wsp>
                      <wps:wsp>
                        <wps:cNvPr id="9" name="Rectangle 5"/>
                        <wps:cNvSpPr>
                          <a:spLocks noChangeArrowheads="1"/>
                        </wps:cNvSpPr>
                        <wps:spPr bwMode="auto">
                          <a:xfrm>
                            <a:off x="0" y="6458"/>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E874E" w14:textId="77777777" w:rsidR="001E585F" w:rsidRDefault="001E585F" w:rsidP="000525D4">
                              <w:pPr>
                                <w:rPr>
                                  <w:rtl/>
                                </w:rPr>
                              </w:pPr>
                            </w:p>
                          </w:txbxContent>
                        </wps:txbx>
                        <wps:bodyPr rot="0" vert="horz" wrap="square" lIns="12700" tIns="12700" rIns="12700" bIns="12700" anchor="t" anchorCtr="0" upright="1">
                          <a:noAutofit/>
                        </wps:bodyPr>
                      </wps:wsp>
                      <wps:wsp>
                        <wps:cNvPr id="10" name="Rectangle 6"/>
                        <wps:cNvSpPr>
                          <a:spLocks noChangeArrowheads="1"/>
                        </wps:cNvSpPr>
                        <wps:spPr bwMode="auto">
                          <a:xfrm>
                            <a:off x="0" y="9652"/>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B2714" w14:textId="77777777" w:rsidR="001E585F" w:rsidRDefault="001E585F" w:rsidP="000525D4">
                              <w:pPr>
                                <w:rPr>
                                  <w:rtl/>
                                </w:rPr>
                              </w:pPr>
                            </w:p>
                          </w:txbxContent>
                        </wps:txbx>
                        <wps:bodyPr rot="0" vert="horz" wrap="square" lIns="12700" tIns="12700" rIns="12700" bIns="12700" anchor="t" anchorCtr="0" upright="1">
                          <a:noAutofit/>
                        </wps:bodyPr>
                      </wps:wsp>
                      <wps:wsp>
                        <wps:cNvPr id="11" name="Rectangle 7"/>
                        <wps:cNvSpPr>
                          <a:spLocks noChangeArrowheads="1"/>
                        </wps:cNvSpPr>
                        <wps:spPr bwMode="auto">
                          <a:xfrm>
                            <a:off x="0" y="12846"/>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458B9" w14:textId="77777777" w:rsidR="001E585F" w:rsidRDefault="001E585F" w:rsidP="000525D4">
                              <w:pPr>
                                <w:rPr>
                                  <w:rtl/>
                                </w:rPr>
                              </w:pPr>
                            </w:p>
                          </w:txbxContent>
                        </wps:txbx>
                        <wps:bodyPr rot="0" vert="horz" wrap="square" lIns="12700" tIns="12700" rIns="12700" bIns="12700" anchor="t" anchorCtr="0" upright="1">
                          <a:noAutofit/>
                        </wps:bodyPr>
                      </wps:wsp>
                      <wps:wsp>
                        <wps:cNvPr id="13" name="Rectangle 9"/>
                        <wps:cNvSpPr>
                          <a:spLocks noChangeArrowheads="1"/>
                        </wps:cNvSpPr>
                        <wps:spPr bwMode="auto">
                          <a:xfrm>
                            <a:off x="0" y="19302"/>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A9C84" w14:textId="77777777" w:rsidR="001E585F" w:rsidRDefault="001E585F" w:rsidP="000525D4">
                              <w:pPr>
                                <w:rPr>
                                  <w:rtl/>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29DF2" id="Group 6" o:spid="_x0000_s1026" style="position:absolute;left:0;text-align:left;margin-left:-37pt;margin-top:27pt;width:14.25pt;height:408.3pt;z-index:251659264;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" o:allowincell="f">
                <v:rect id="Rectangle 3" o:spid="_x0000_s1027" style="position:absolute;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" filled="f" stroked="f" strokeweight=".25pt">
                  <v:textbox inset="1pt,1pt,1pt,1pt">
                    <w:txbxContent>
                      <w:p w14:paraId="29A8DE38" w14:textId="77777777" w:rsidR="001E585F" w:rsidRDefault="001E585F" w:rsidP="000525D4">
                        <w:pPr>
                          <w:rPr>
                            <w:rtl/>
                          </w:rPr>
                        </w:pPr>
                      </w:p>
                    </w:txbxContent>
                  </v:textbox>
                </v:rect>
                <v:rect id="Rectangle 4" o:spid="_x0000_s1028" style="position:absolute;top:3262;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1C6A7186" w14:textId="77777777" w:rsidR="001E585F" w:rsidRDefault="001E585F" w:rsidP="000525D4">
                        <w:pPr>
                          <w:rPr>
                            <w:rtl/>
                          </w:rPr>
                        </w:pPr>
                      </w:p>
                    </w:txbxContent>
                  </v:textbox>
                </v:rect>
                <v:rect id="Rectangle 5" o:spid="_x0000_s1029" style="position:absolute;top:6458;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0B4E874E" w14:textId="77777777" w:rsidR="001E585F" w:rsidRDefault="001E585F" w:rsidP="000525D4">
                        <w:pPr>
                          <w:rPr>
                            <w:rtl/>
                          </w:rPr>
                        </w:pPr>
                      </w:p>
                    </w:txbxContent>
                  </v:textbox>
                </v:rect>
                <v:rect id="Rectangle 6" o:spid="_x0000_s1030" style="position:absolute;top:9652;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261B2714" w14:textId="77777777" w:rsidR="001E585F" w:rsidRDefault="001E585F" w:rsidP="000525D4">
                        <w:pPr>
                          <w:rPr>
                            <w:rtl/>
                          </w:rPr>
                        </w:pPr>
                      </w:p>
                    </w:txbxContent>
                  </v:textbox>
                </v:rect>
                <v:rect id="Rectangle 7" o:spid="_x0000_s1031" style="position:absolute;top:12846;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598458B9" w14:textId="77777777" w:rsidR="001E585F" w:rsidRDefault="001E585F" w:rsidP="000525D4">
                        <w:pPr>
                          <w:rPr>
                            <w:rtl/>
                          </w:rPr>
                        </w:pPr>
                      </w:p>
                    </w:txbxContent>
                  </v:textbox>
                </v:rect>
                <v:rect id="Rectangle 9" o:spid="_x0000_s1032" style="position:absolute;top:19302;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14:paraId="248A9C84" w14:textId="77777777" w:rsidR="001E585F" w:rsidRDefault="001E585F" w:rsidP="000525D4">
                        <w:pPr>
                          <w:rPr>
                            <w:rtl/>
                          </w:rPr>
                        </w:pPr>
                      </w:p>
                    </w:txbxContent>
                  </v:textbox>
                </v:rect>
                <w10:wrap anchory="margin"/>
              </v:group>
            </w:pict>
          </mc:Fallback>
        </mc:AlternateContent>
      </w:r>
      <w:r w:rsidRPr="00025D4F">
        <w:rPr>
          <w:rFonts w:cs="David"/>
          <w:rtl/>
        </w:rPr>
        <w:t xml:space="preserve">לעצמו תפיסה דתית כרצונו. מצד שני, </w:t>
      </w:r>
      <w:r w:rsidRPr="00A959A2">
        <w:rPr>
          <w:rFonts w:cs="David"/>
          <w:b/>
          <w:bCs/>
          <w:rtl/>
        </w:rPr>
        <w:t>חופש הדת מטיל איסור על כל רשות מינהלית לפגוע באדם או גוף, ובכלל זה איסור להפלות אדם או גוף, בשל תפיסה דתית שבחר לעצמו</w:t>
      </w:r>
      <w:r w:rsidRPr="00025D4F">
        <w:rPr>
          <w:rFonts w:cs="David"/>
          <w:rtl/>
        </w:rPr>
        <w:t xml:space="preserve">. " </w:t>
      </w:r>
      <w:r w:rsidRPr="00025D4F">
        <w:rPr>
          <w:rFonts w:cs="David" w:hint="cs"/>
          <w:rtl/>
        </w:rPr>
        <w:t>[ההדגשה הוספה]</w:t>
      </w:r>
    </w:p>
    <w:p w14:paraId="38C81697" w14:textId="77777777" w:rsidR="00A959A2" w:rsidRPr="00025D4F" w:rsidRDefault="00A959A2" w:rsidP="00A959A2">
      <w:pPr>
        <w:spacing w:line="312" w:lineRule="exact"/>
        <w:ind w:left="1440" w:right="851"/>
        <w:jc w:val="both"/>
        <w:rPr>
          <w:rFonts w:cs="David"/>
          <w:rtl/>
        </w:rPr>
      </w:pPr>
      <w:r w:rsidRPr="00025D4F">
        <w:rPr>
          <w:rFonts w:cs="David"/>
          <w:rtl/>
        </w:rPr>
        <w:t>בג"ץ 1438/98</w:t>
      </w:r>
      <w:r w:rsidRPr="00025D4F">
        <w:rPr>
          <w:rFonts w:cs="David" w:hint="cs"/>
          <w:rtl/>
        </w:rPr>
        <w:t xml:space="preserve"> </w:t>
      </w:r>
      <w:r w:rsidRPr="00025D4F">
        <w:rPr>
          <w:rFonts w:cs="David" w:hint="eastAsia"/>
          <w:b/>
          <w:bCs/>
          <w:rtl/>
        </w:rPr>
        <w:t>התנועה</w:t>
      </w:r>
      <w:r w:rsidRPr="00025D4F">
        <w:rPr>
          <w:rFonts w:cs="David"/>
          <w:b/>
          <w:bCs/>
          <w:rtl/>
        </w:rPr>
        <w:t xml:space="preserve"> </w:t>
      </w:r>
      <w:r w:rsidRPr="00025D4F">
        <w:rPr>
          <w:rFonts w:cs="David" w:hint="eastAsia"/>
          <w:b/>
          <w:bCs/>
          <w:rtl/>
        </w:rPr>
        <w:t>המסורתית</w:t>
      </w:r>
      <w:r w:rsidRPr="00025D4F">
        <w:rPr>
          <w:rFonts w:cs="David"/>
          <w:b/>
          <w:bCs/>
          <w:rtl/>
        </w:rPr>
        <w:t xml:space="preserve"> </w:t>
      </w:r>
      <w:r w:rsidRPr="00025D4F">
        <w:rPr>
          <w:rFonts w:cs="David" w:hint="eastAsia"/>
          <w:b/>
          <w:bCs/>
          <w:rtl/>
        </w:rPr>
        <w:t>נ</w:t>
      </w:r>
      <w:r w:rsidRPr="00025D4F">
        <w:rPr>
          <w:rFonts w:cs="David"/>
          <w:b/>
          <w:bCs/>
          <w:rtl/>
        </w:rPr>
        <w:t xml:space="preserve">' </w:t>
      </w:r>
      <w:r w:rsidRPr="00025D4F">
        <w:rPr>
          <w:rFonts w:cs="David" w:hint="eastAsia"/>
          <w:b/>
          <w:bCs/>
          <w:rtl/>
        </w:rPr>
        <w:t>השר</w:t>
      </w:r>
      <w:r w:rsidRPr="00025D4F">
        <w:rPr>
          <w:rFonts w:cs="David"/>
          <w:b/>
          <w:bCs/>
          <w:rtl/>
        </w:rPr>
        <w:t xml:space="preserve"> </w:t>
      </w:r>
      <w:r w:rsidRPr="00025D4F">
        <w:rPr>
          <w:rFonts w:cs="David" w:hint="eastAsia"/>
          <w:b/>
          <w:bCs/>
          <w:rtl/>
        </w:rPr>
        <w:t>לענייני</w:t>
      </w:r>
      <w:r w:rsidRPr="00025D4F">
        <w:rPr>
          <w:rFonts w:cs="David"/>
          <w:b/>
          <w:bCs/>
          <w:rtl/>
        </w:rPr>
        <w:t xml:space="preserve"> </w:t>
      </w:r>
      <w:r w:rsidRPr="00025D4F">
        <w:rPr>
          <w:rFonts w:cs="David" w:hint="eastAsia"/>
          <w:b/>
          <w:bCs/>
          <w:rtl/>
        </w:rPr>
        <w:t>דתות</w:t>
      </w:r>
      <w:r w:rsidRPr="00025D4F">
        <w:rPr>
          <w:rFonts w:cs="David" w:hint="cs"/>
          <w:rtl/>
        </w:rPr>
        <w:t>, פ"ד נג(5)  337, 374-375</w:t>
      </w:r>
      <w:r w:rsidR="00BF2B85">
        <w:rPr>
          <w:rFonts w:cs="David" w:hint="cs"/>
          <w:rtl/>
        </w:rPr>
        <w:t xml:space="preserve"> (להלן: ענין </w:t>
      </w:r>
      <w:r w:rsidR="00BF2B85">
        <w:rPr>
          <w:rFonts w:cs="David" w:hint="cs"/>
          <w:b/>
          <w:bCs/>
          <w:rtl/>
        </w:rPr>
        <w:t>התנועה המסורתית</w:t>
      </w:r>
      <w:r w:rsidR="00BF2B85">
        <w:rPr>
          <w:rFonts w:cs="David" w:hint="cs"/>
          <w:rtl/>
        </w:rPr>
        <w:t>)</w:t>
      </w:r>
      <w:r>
        <w:rPr>
          <w:rFonts w:cs="David" w:hint="cs"/>
          <w:rtl/>
        </w:rPr>
        <w:t>.</w:t>
      </w:r>
    </w:p>
    <w:p w14:paraId="6F1767D5" w14:textId="77777777" w:rsidR="00A959A2" w:rsidRPr="00301543" w:rsidRDefault="00A959A2" w:rsidP="00A959A2">
      <w:pPr>
        <w:spacing w:after="120" w:line="360" w:lineRule="auto"/>
        <w:ind w:left="368" w:right="-540"/>
        <w:jc w:val="both"/>
        <w:rPr>
          <w:rFonts w:cs="David"/>
          <w:rtl/>
        </w:rPr>
      </w:pPr>
    </w:p>
    <w:p w14:paraId="6FF7536E" w14:textId="77777777" w:rsidR="00E018DB" w:rsidRDefault="00E018DB" w:rsidP="00A84F48">
      <w:pPr>
        <w:numPr>
          <w:ilvl w:val="0"/>
          <w:numId w:val="4"/>
        </w:numPr>
        <w:tabs>
          <w:tab w:val="num" w:pos="540"/>
        </w:tabs>
        <w:spacing w:before="240" w:line="360" w:lineRule="auto"/>
        <w:jc w:val="both"/>
        <w:rPr>
          <w:rFonts w:cs="David"/>
        </w:rPr>
      </w:pPr>
      <w:r>
        <w:rPr>
          <w:rFonts w:cs="David" w:hint="cs"/>
          <w:rtl/>
        </w:rPr>
        <w:t>בית המשפט העליון עמד על כך שהיהודים בישראל אינם מהווים עדה דתית אחת שבראשה עומדת הרבנות הראשית</w:t>
      </w:r>
      <w:r w:rsidR="00A84F48">
        <w:rPr>
          <w:rFonts w:cs="David" w:hint="cs"/>
          <w:rtl/>
        </w:rPr>
        <w:t>:</w:t>
      </w:r>
    </w:p>
    <w:p w14:paraId="7E48A94E" w14:textId="77777777" w:rsidR="00475041" w:rsidRDefault="00075686" w:rsidP="000525D4">
      <w:pPr>
        <w:spacing w:before="240" w:line="360" w:lineRule="auto"/>
        <w:ind w:left="1440" w:right="851"/>
        <w:jc w:val="both"/>
        <w:rPr>
          <w:rFonts w:ascii="David" w:hAnsi="David" w:cs="David"/>
          <w:b/>
          <w:bCs/>
          <w:rtl/>
        </w:rPr>
      </w:pPr>
      <w:r>
        <w:rPr>
          <w:rFonts w:ascii="David" w:hAnsi="David" w:cs="David" w:hint="cs"/>
          <w:rtl/>
        </w:rPr>
        <w:t>"</w:t>
      </w:r>
      <w:r w:rsidR="000525D4" w:rsidRPr="002C2765">
        <w:rPr>
          <w:rFonts w:ascii="David" w:hAnsi="David" w:cs="David"/>
          <w:rtl/>
        </w:rPr>
        <w:t xml:space="preserve">הגדרה זו [של עדה דתית בדבר המלך במועצה] רלוונטית לעניין אותם דברי חקיקה הנזקקים לדיבור "עדה דתית" (ראו </w:t>
      </w:r>
      <w:hyperlink r:id="rId14" w:history="1">
        <w:r w:rsidR="000525D4" w:rsidRPr="00B72859">
          <w:rPr>
            <w:rFonts w:ascii="David" w:hAnsi="David" w:cs="David"/>
            <w:rtl/>
          </w:rPr>
          <w:t>פקודת העדה הדתית (המרה)</w:t>
        </w:r>
      </w:hyperlink>
      <w:r w:rsidR="000525D4" w:rsidRPr="002C2765">
        <w:rPr>
          <w:rFonts w:ascii="David" w:hAnsi="David" w:cs="David"/>
          <w:rtl/>
        </w:rPr>
        <w:t xml:space="preserve">; </w:t>
      </w:r>
      <w:hyperlink r:id="rId15" w:history="1">
        <w:r w:rsidR="000525D4" w:rsidRPr="00B72859">
          <w:rPr>
            <w:rFonts w:ascii="David" w:hAnsi="David" w:cs="David"/>
            <w:rtl/>
          </w:rPr>
          <w:t>פקודת העדות הדתיות (ארגונן)</w:t>
        </w:r>
      </w:hyperlink>
      <w:r w:rsidR="000525D4" w:rsidRPr="002C2765">
        <w:rPr>
          <w:rFonts w:ascii="David" w:hAnsi="David" w:cs="David"/>
          <w:rtl/>
        </w:rPr>
        <w:t xml:space="preserve">), ואף עניין זה אינו נקי מספקות (ראו פ' שיפמן "על גיור שלא כהלכה" [25], בעמ' 393). </w:t>
      </w:r>
      <w:r w:rsidR="000525D4" w:rsidRPr="002C2765">
        <w:rPr>
          <w:rFonts w:ascii="David" w:hAnsi="David" w:cs="David"/>
          <w:b/>
          <w:bCs/>
          <w:rtl/>
        </w:rPr>
        <w:t>אין להגדרה זו כל משמעות מעבר לכך. בוודאי אין ללמוד ממנה כי היהודים בישראל מהווים עדה דתית אחת, אשר בראשה עומדת, בתחום הדתי, הרבנות הראשית לישראל.</w:t>
      </w:r>
      <w:r w:rsidR="000525D4" w:rsidRPr="002C2765">
        <w:rPr>
          <w:rFonts w:ascii="David" w:hAnsi="David" w:cs="David"/>
          <w:rtl/>
        </w:rPr>
        <w:t xml:space="preserve"> מעבר להוראות חוק מיוחדות – אשר צריכות להתפרש על</w:t>
      </w:r>
      <w:r w:rsidR="000525D4" w:rsidRPr="00EE5538">
        <w:rPr>
          <w:rFonts w:ascii="David" w:hAnsi="David" w:cs="David"/>
          <w:position w:val="4"/>
          <w:rtl/>
        </w:rPr>
        <w:t>-</w:t>
      </w:r>
      <w:r w:rsidR="000525D4" w:rsidRPr="00EE5538">
        <w:rPr>
          <w:rFonts w:ascii="David" w:hAnsi="David" w:cs="David"/>
          <w:rtl/>
        </w:rPr>
        <w:t xml:space="preserve">פי תכליתן שלהן – </w:t>
      </w:r>
      <w:r w:rsidR="000525D4" w:rsidRPr="00A21A8E">
        <w:rPr>
          <w:rFonts w:ascii="David" w:hAnsi="David" w:cs="David"/>
          <w:b/>
          <w:bCs/>
          <w:rtl/>
        </w:rPr>
        <w:t xml:space="preserve">התפיסה הרחבה הינה כי היהודים בישראל אינם נתפסים כעדה דתית אחת </w:t>
      </w:r>
      <w:r w:rsidR="000525D4" w:rsidRPr="00A21A8E">
        <w:rPr>
          <w:rFonts w:ascii="David" w:hAnsi="David" w:cs="David"/>
          <w:rtl/>
        </w:rPr>
        <w:t xml:space="preserve">(ראו </w:t>
      </w:r>
      <w:hyperlink r:id="rId16" w:history="1">
        <w:r w:rsidR="000525D4" w:rsidRPr="00B72859">
          <w:rPr>
            <w:rStyle w:val="Hyperlink"/>
            <w:rFonts w:ascii="David" w:hAnsi="David" w:cs="David"/>
            <w:color w:val="auto"/>
            <w:u w:val="none"/>
            <w:rtl/>
          </w:rPr>
          <w:t>בג"ץ 6168/92</w:t>
        </w:r>
      </w:hyperlink>
      <w:r w:rsidR="000525D4" w:rsidRPr="002C2765">
        <w:rPr>
          <w:rFonts w:ascii="David" w:hAnsi="David" w:cs="David"/>
          <w:rtl/>
        </w:rPr>
        <w:t xml:space="preserve"> האגודה ההומניסטית החילונית בישראל נ' ממשלת ישראל [16]). </w:t>
      </w:r>
      <w:r w:rsidR="000525D4" w:rsidRPr="002C2765">
        <w:rPr>
          <w:rFonts w:ascii="David" w:hAnsi="David" w:cs="David"/>
          <w:rtl/>
        </w:rPr>
        <w:lastRenderedPageBreak/>
        <w:t>תפיסתם של היהודים כ"עדה דתית" ב</w:t>
      </w:r>
      <w:hyperlink r:id="rId17" w:history="1">
        <w:r w:rsidR="000525D4" w:rsidRPr="00B72859">
          <w:rPr>
            <w:rFonts w:ascii="David" w:hAnsi="David" w:cs="David"/>
            <w:rtl/>
          </w:rPr>
          <w:t>דבר המלך במועצה על ארץ-ישראל</w:t>
        </w:r>
      </w:hyperlink>
      <w:r w:rsidR="000525D4" w:rsidRPr="002C2765">
        <w:rPr>
          <w:rFonts w:ascii="David" w:hAnsi="David" w:cs="David"/>
          <w:rtl/>
        </w:rPr>
        <w:t xml:space="preserve"> היא גישה מנדטורית</w:t>
      </w:r>
      <w:r w:rsidR="000525D4" w:rsidRPr="002C2765">
        <w:rPr>
          <w:rFonts w:ascii="David" w:hAnsi="David" w:cs="David"/>
          <w:position w:val="4"/>
          <w:rtl/>
        </w:rPr>
        <w:t>-</w:t>
      </w:r>
      <w:r w:rsidR="000525D4" w:rsidRPr="002C2765">
        <w:rPr>
          <w:rFonts w:ascii="David" w:hAnsi="David" w:cs="David"/>
          <w:rtl/>
        </w:rPr>
        <w:t xml:space="preserve">קולוניאלית. אין לה מקום במדינת ישראל. </w:t>
      </w:r>
      <w:r w:rsidR="000525D4" w:rsidRPr="00EE5538">
        <w:rPr>
          <w:rFonts w:ascii="David" w:hAnsi="David" w:cs="David"/>
          <w:b/>
          <w:bCs/>
          <w:rtl/>
        </w:rPr>
        <w:t>ישראל אינה מדינתה של "עדה יהודית". ישראל היא מדינתו של העם היהודי</w:t>
      </w:r>
      <w:r w:rsidR="000525D4" w:rsidRPr="00EE5538">
        <w:rPr>
          <w:rFonts w:ascii="David" w:hAnsi="David" w:cs="David"/>
          <w:rtl/>
        </w:rPr>
        <w:t>, והיא הביטוי של "...זכות העם</w:t>
      </w:r>
      <w:r w:rsidR="000525D4" w:rsidRPr="00A21A8E">
        <w:rPr>
          <w:rFonts w:ascii="David" w:hAnsi="David" w:cs="David"/>
          <w:rtl/>
        </w:rPr>
        <w:t xml:space="preserve"> </w:t>
      </w:r>
      <w:r w:rsidR="000525D4" w:rsidRPr="000525D4">
        <w:rPr>
          <w:rFonts w:ascii="David" w:hAnsi="David" w:cs="David"/>
          <w:rtl/>
        </w:rPr>
        <w:t xml:space="preserve">היהודי לתקומה לאומית בארצו" (הכרזת העצמאות [27]). </w:t>
      </w:r>
      <w:r w:rsidR="000525D4" w:rsidRPr="00075686">
        <w:rPr>
          <w:rFonts w:ascii="David" w:hAnsi="David" w:cs="David"/>
          <w:b/>
          <w:bCs/>
          <w:rtl/>
        </w:rPr>
        <w:t>ביהדות ישנם זרמים שונים הפועלים בישראל ומחוצה לה. כל זרם פועל על</w:t>
      </w:r>
      <w:r w:rsidR="000525D4" w:rsidRPr="00075686">
        <w:rPr>
          <w:rFonts w:ascii="David" w:hAnsi="David" w:cs="David"/>
          <w:b/>
          <w:bCs/>
          <w:position w:val="4"/>
          <w:rtl/>
        </w:rPr>
        <w:t>-</w:t>
      </w:r>
      <w:r w:rsidR="000525D4" w:rsidRPr="00075686">
        <w:rPr>
          <w:rFonts w:ascii="David" w:hAnsi="David" w:cs="David"/>
          <w:b/>
          <w:bCs/>
          <w:rtl/>
        </w:rPr>
        <w:t>פי השקפותיו שלו. לכל יהודי ויהודי בישראל – כמו גם לכל אדם ואדם שאינו יהודי – חופש דת, מצפון והתארגנות. תפיסות היסוד שלנו מעניקות לכל פרט ופרט את החירות להחליט באשר להשתייכותו לזרם זה או אחר.</w:t>
      </w:r>
      <w:r>
        <w:rPr>
          <w:rFonts w:ascii="David" w:hAnsi="David" w:cs="David" w:hint="cs"/>
          <w:b/>
          <w:bCs/>
          <w:rtl/>
        </w:rPr>
        <w:t>"</w:t>
      </w:r>
    </w:p>
    <w:p w14:paraId="44940966" w14:textId="77777777" w:rsidR="00A84F48" w:rsidRPr="000525D4" w:rsidRDefault="00A84F48" w:rsidP="000525D4">
      <w:pPr>
        <w:spacing w:before="240" w:line="360" w:lineRule="auto"/>
        <w:ind w:left="1440" w:right="851"/>
        <w:jc w:val="both"/>
        <w:rPr>
          <w:rFonts w:ascii="David" w:hAnsi="David" w:cs="David"/>
          <w:rtl/>
        </w:rPr>
      </w:pPr>
      <w:r>
        <w:rPr>
          <w:rFonts w:cs="David" w:hint="cs"/>
          <w:rtl/>
        </w:rPr>
        <w:t xml:space="preserve">בג"ץ 5070/95 </w:t>
      </w:r>
      <w:r>
        <w:rPr>
          <w:rFonts w:cs="David" w:hint="cs"/>
          <w:b/>
          <w:bCs/>
          <w:rtl/>
        </w:rPr>
        <w:t xml:space="preserve">נעמת נ' שר הפנים, </w:t>
      </w:r>
      <w:r>
        <w:rPr>
          <w:rFonts w:cs="David" w:hint="cs"/>
          <w:rtl/>
        </w:rPr>
        <w:t>פ"ד נו(2) 721, 751-752.</w:t>
      </w:r>
    </w:p>
    <w:p w14:paraId="1FF764BE" w14:textId="4771813F" w:rsidR="002C2765" w:rsidRDefault="002C2765" w:rsidP="00B72859">
      <w:pPr>
        <w:numPr>
          <w:ilvl w:val="0"/>
          <w:numId w:val="4"/>
        </w:numPr>
        <w:tabs>
          <w:tab w:val="num" w:pos="540"/>
        </w:tabs>
        <w:spacing w:before="240" w:line="360" w:lineRule="auto"/>
        <w:jc w:val="both"/>
        <w:rPr>
          <w:rFonts w:cs="David"/>
        </w:rPr>
      </w:pPr>
      <w:r>
        <w:rPr>
          <w:rFonts w:cs="David" w:hint="cs"/>
          <w:rtl/>
        </w:rPr>
        <w:t xml:space="preserve">מניעת השתתפות במיזם של זוגות הנישאים מחוץ לרבנות </w:t>
      </w:r>
      <w:r>
        <w:rPr>
          <w:rFonts w:cs="David"/>
          <w:rtl/>
        </w:rPr>
        <w:t>–</w:t>
      </w:r>
      <w:r>
        <w:rPr>
          <w:rFonts w:cs="David" w:hint="cs"/>
          <w:rtl/>
        </w:rPr>
        <w:t xml:space="preserve"> כמו העותרים 1-2 הנישאים בטקס רפורמי </w:t>
      </w:r>
      <w:r>
        <w:rPr>
          <w:rFonts w:cs="David"/>
          <w:rtl/>
        </w:rPr>
        <w:t>–</w:t>
      </w:r>
      <w:r>
        <w:rPr>
          <w:rFonts w:cs="David" w:hint="cs"/>
          <w:rtl/>
        </w:rPr>
        <w:t xml:space="preserve"> יש בה הפליה פסולה המבוססת על השתייכות דתית.</w:t>
      </w:r>
    </w:p>
    <w:p w14:paraId="523DD882" w14:textId="77777777" w:rsidR="002C2765" w:rsidRPr="00E43432" w:rsidRDefault="002C2765" w:rsidP="002C2765">
      <w:pPr>
        <w:autoSpaceDE/>
        <w:autoSpaceDN/>
        <w:spacing w:before="240" w:after="240" w:line="360" w:lineRule="auto"/>
        <w:jc w:val="both"/>
        <w:rPr>
          <w:rFonts w:ascii="David" w:hAnsi="David" w:cs="David"/>
          <w:b/>
          <w:bCs/>
          <w:u w:val="single"/>
          <w:rtl/>
        </w:rPr>
      </w:pPr>
      <w:r w:rsidRPr="00E43432">
        <w:rPr>
          <w:rFonts w:ascii="David" w:hAnsi="David" w:cs="David"/>
          <w:b/>
          <w:bCs/>
          <w:u w:val="single"/>
          <w:rtl/>
        </w:rPr>
        <w:t>עקרון הפלורליזם</w:t>
      </w:r>
    </w:p>
    <w:p w14:paraId="29A7D888" w14:textId="77777777" w:rsidR="002C2765" w:rsidRPr="00E43432" w:rsidRDefault="002C2765" w:rsidP="002C2765">
      <w:pPr>
        <w:numPr>
          <w:ilvl w:val="0"/>
          <w:numId w:val="4"/>
        </w:numPr>
        <w:tabs>
          <w:tab w:val="num" w:pos="540"/>
        </w:tabs>
        <w:spacing w:before="240" w:line="360" w:lineRule="auto"/>
        <w:jc w:val="both"/>
        <w:rPr>
          <w:rFonts w:ascii="David" w:hAnsi="David" w:cs="David"/>
        </w:rPr>
      </w:pPr>
      <w:r w:rsidRPr="00E43432">
        <w:rPr>
          <w:rFonts w:ascii="David" w:hAnsi="David" w:cs="David"/>
          <w:rtl/>
        </w:rPr>
        <w:t>המשיב</w:t>
      </w:r>
      <w:r>
        <w:rPr>
          <w:rFonts w:ascii="David" w:hAnsi="David" w:cs="David" w:hint="cs"/>
          <w:rtl/>
        </w:rPr>
        <w:t>ה</w:t>
      </w:r>
      <w:r w:rsidRPr="00E43432">
        <w:rPr>
          <w:rFonts w:ascii="David" w:hAnsi="David" w:cs="David"/>
          <w:rtl/>
        </w:rPr>
        <w:t xml:space="preserve"> מחויב</w:t>
      </w:r>
      <w:r>
        <w:rPr>
          <w:rFonts w:ascii="David" w:hAnsi="David" w:cs="David" w:hint="cs"/>
          <w:rtl/>
        </w:rPr>
        <w:t>ת</w:t>
      </w:r>
      <w:r w:rsidRPr="00E43432">
        <w:rPr>
          <w:rFonts w:ascii="David" w:hAnsi="David" w:cs="David"/>
          <w:rtl/>
        </w:rPr>
        <w:t xml:space="preserve"> לפעול בשוויון ואולם בכך אין די. </w:t>
      </w:r>
      <w:r w:rsidRPr="00E43432">
        <w:rPr>
          <w:rFonts w:ascii="David" w:hAnsi="David" w:cs="David"/>
          <w:b/>
          <w:bCs/>
          <w:rtl/>
        </w:rPr>
        <w:t xml:space="preserve">עקרון הפלורליזם מחייב את עידוד הזרמים </w:t>
      </w:r>
      <w:r>
        <w:rPr>
          <w:rFonts w:ascii="David" w:hAnsi="David" w:cs="David" w:hint="cs"/>
          <w:b/>
          <w:bCs/>
          <w:rtl/>
        </w:rPr>
        <w:t>השונים</w:t>
      </w:r>
      <w:r w:rsidRPr="00E43432">
        <w:rPr>
          <w:rFonts w:ascii="David" w:hAnsi="David" w:cs="David"/>
          <w:b/>
          <w:bCs/>
          <w:rtl/>
        </w:rPr>
        <w:t xml:space="preserve"> ביהדות.</w:t>
      </w:r>
      <w:r w:rsidRPr="00E43432">
        <w:rPr>
          <w:rFonts w:ascii="David" w:hAnsi="David" w:cs="David"/>
          <w:rtl/>
        </w:rPr>
        <w:t xml:space="preserve">  </w:t>
      </w:r>
    </w:p>
    <w:p w14:paraId="272AA310" w14:textId="77777777" w:rsidR="002C2765" w:rsidRPr="00E43432" w:rsidRDefault="002C2765" w:rsidP="002C2765">
      <w:pPr>
        <w:numPr>
          <w:ilvl w:val="0"/>
          <w:numId w:val="4"/>
        </w:numPr>
        <w:tabs>
          <w:tab w:val="num" w:pos="540"/>
        </w:tabs>
        <w:spacing w:before="240" w:line="360" w:lineRule="auto"/>
        <w:jc w:val="both"/>
        <w:rPr>
          <w:rFonts w:ascii="David" w:hAnsi="David" w:cs="David"/>
        </w:rPr>
      </w:pPr>
      <w:r w:rsidRPr="00E43432">
        <w:rPr>
          <w:rFonts w:ascii="David" w:hAnsi="David" w:cs="David"/>
          <w:rtl/>
        </w:rPr>
        <w:t xml:space="preserve">עקרון הפלורליזם פירושו עידודן של מגוון דעות ופעילויות שיש בהן כדי להעשיר את אפשרויות הבחירה של האזרחים, ובכך תורמות הן להגשמתו המירבית של חופש הבחירה ועיצוב הזהות של הפרט. חובתן של רשויות השלטון לאפשר פלורליזם דתי משמעו עידודן של תפיסות דתיות שונות מחד, וגילוי סובלנות כלפי אותן תפיסות, מאידך, דווקא כאשר שוררת מחלוקת לגבי אותן תפיסות. על החובה לקדם פלורליזם דתי נאמר: </w:t>
      </w:r>
    </w:p>
    <w:p w14:paraId="29BE657F" w14:textId="77777777" w:rsidR="002C2765" w:rsidRPr="00BF2B85" w:rsidRDefault="002C2765" w:rsidP="002C2765">
      <w:pPr>
        <w:spacing w:before="240" w:line="360" w:lineRule="auto"/>
        <w:ind w:left="1440" w:right="851"/>
        <w:jc w:val="both"/>
        <w:rPr>
          <w:rFonts w:ascii="David" w:hAnsi="David" w:cs="David"/>
          <w:b/>
          <w:bCs/>
          <w:rtl/>
        </w:rPr>
      </w:pPr>
      <w:r w:rsidRPr="00BF2B85">
        <w:rPr>
          <w:rFonts w:ascii="David" w:hAnsi="David" w:cs="David"/>
          <w:rtl/>
        </w:rPr>
        <w:t>"יתרון הוא גם לחברה, שיש בה מגוון של תפיסות, אורחות חיים ומוסדות. המגוון מעשיר. הוא מבטא מציאות חיים; הוא תורם לשיפור החיים; הוא נותן משמעות מעשית לחופש. החופש הוא בחירה</w:t>
      </w:r>
      <w:r w:rsidRPr="00BF2B85">
        <w:rPr>
          <w:rFonts w:ascii="David" w:hAnsi="David" w:cs="David"/>
          <w:b/>
          <w:bCs/>
          <w:rtl/>
        </w:rPr>
        <w:t>. ללא אפשרות של בחירה בין דרכים שונות, החופש של אדם לבחור את דרכו הוא רק מליצה. זה עיקרו של הפלורליזם, שהוא מרכיב חיוני ומרכזי של חברה דמוקרטית, לא רק במישור הפוליטי, אלא גם במישור התרבותי, לרבות במישור הדתי: מגוון של דרכים ואפשרות לבחור ביניהן...</w:t>
      </w:r>
    </w:p>
    <w:p w14:paraId="084873F6" w14:textId="77777777" w:rsidR="002C2765" w:rsidRPr="00BF2B85" w:rsidRDefault="002C2765" w:rsidP="002C2765">
      <w:pPr>
        <w:spacing w:before="240" w:line="360" w:lineRule="auto"/>
        <w:ind w:left="1440" w:right="851"/>
        <w:jc w:val="both"/>
        <w:rPr>
          <w:rFonts w:ascii="David" w:hAnsi="David" w:cs="David"/>
          <w:rtl/>
        </w:rPr>
      </w:pPr>
      <w:r w:rsidRPr="00BF2B85">
        <w:rPr>
          <w:rFonts w:ascii="David" w:hAnsi="David" w:cs="David"/>
          <w:rtl/>
        </w:rPr>
        <w:t>מדינת</w:t>
      </w:r>
      <w:r w:rsidRPr="00BF2B85">
        <w:rPr>
          <w:rFonts w:ascii="David" w:hAnsi="David" w:cs="David"/>
          <w:b/>
          <w:bCs/>
          <w:rtl/>
        </w:rPr>
        <w:t xml:space="preserve"> ישראל היא, כפי שגם נקבע בחוק יסוד: כבוד האדם וחירותו ובחוק יסוד: חופש העיסוק, מדינה יהודית ודמוקרטית. ההיבט היהודי של המדינה בא לידי ביטוי, בהקשר הנדון, במתן תמיכה לתרבות תורנית</w:t>
      </w:r>
      <w:r w:rsidRPr="00BF2B85">
        <w:rPr>
          <w:rFonts w:ascii="David" w:hAnsi="David" w:cs="David"/>
          <w:rtl/>
        </w:rPr>
        <w:t xml:space="preserve">. אולם לא בהכרח תרבות תורנית העשויה  כולה בדפוס אחד. </w:t>
      </w:r>
      <w:r w:rsidRPr="00BF2B85">
        <w:rPr>
          <w:rFonts w:ascii="David" w:hAnsi="David" w:cs="David"/>
          <w:b/>
          <w:bCs/>
          <w:rtl/>
        </w:rPr>
        <w:t xml:space="preserve">התרבות התורנית עשויה, הלכה למעשה, גוונים וגווני גוונים. המדינה נדרשת לאפשר ביטוי לאלה ואף לאלה. כך נדרש מן המדינה </w:t>
      </w:r>
      <w:r w:rsidRPr="00BF2B85">
        <w:rPr>
          <w:rFonts w:ascii="David" w:hAnsi="David" w:cs="David"/>
          <w:b/>
          <w:bCs/>
          <w:rtl/>
        </w:rPr>
        <w:lastRenderedPageBreak/>
        <w:t xml:space="preserve">לא רק בשל עקרון השוויון. כך נדרש ממנה גם בשל תפיסת הפלורליזם. </w:t>
      </w:r>
      <w:r w:rsidRPr="00BF2B85">
        <w:rPr>
          <w:rFonts w:ascii="David" w:hAnsi="David" w:cs="David"/>
          <w:rtl/>
        </w:rPr>
        <w:t>הפלורליזם הוא היבט של הדמוקרטיה. וישראל היא מדינה יהודית שהיא גם מדינה דמוקרטית." [ההדגשות הוספו]</w:t>
      </w:r>
    </w:p>
    <w:p w14:paraId="5E954808" w14:textId="77777777" w:rsidR="002C2765" w:rsidRPr="002A5F1F" w:rsidRDefault="002C2765" w:rsidP="002C2765">
      <w:pPr>
        <w:spacing w:before="240" w:line="360" w:lineRule="auto"/>
        <w:ind w:left="1440" w:right="851"/>
        <w:jc w:val="both"/>
        <w:rPr>
          <w:rFonts w:ascii="David" w:hAnsi="David" w:cs="David"/>
          <w:rtl/>
        </w:rPr>
      </w:pPr>
      <w:r w:rsidRPr="002A5F1F">
        <w:rPr>
          <w:rFonts w:ascii="David" w:hAnsi="David" w:cs="David" w:hint="cs"/>
          <w:rtl/>
        </w:rPr>
        <w:t>עניין</w:t>
      </w:r>
      <w:r w:rsidRPr="002A5F1F">
        <w:rPr>
          <w:rFonts w:ascii="David" w:hAnsi="David" w:cs="David"/>
          <w:rtl/>
        </w:rPr>
        <w:t xml:space="preserve"> </w:t>
      </w:r>
      <w:r w:rsidRPr="002A5F1F">
        <w:rPr>
          <w:rFonts w:ascii="David" w:hAnsi="David" w:cs="David"/>
          <w:b/>
          <w:bCs/>
          <w:rtl/>
        </w:rPr>
        <w:t>התנועה המסורתית</w:t>
      </w:r>
      <w:r w:rsidRPr="002A5F1F">
        <w:rPr>
          <w:rFonts w:ascii="David" w:hAnsi="David" w:cs="David" w:hint="cs"/>
          <w:b/>
          <w:bCs/>
          <w:rtl/>
        </w:rPr>
        <w:t xml:space="preserve">, </w:t>
      </w:r>
      <w:r w:rsidRPr="002A5F1F">
        <w:rPr>
          <w:rFonts w:ascii="David" w:hAnsi="David" w:cs="David" w:hint="cs"/>
          <w:rtl/>
        </w:rPr>
        <w:t>בע</w:t>
      </w:r>
      <w:r w:rsidRPr="002A5F1F">
        <w:rPr>
          <w:rFonts w:ascii="David" w:hAnsi="David" w:cs="David" w:hint="cs"/>
          <w:b/>
          <w:bCs/>
          <w:rtl/>
        </w:rPr>
        <w:t>'</w:t>
      </w:r>
      <w:r w:rsidRPr="002A5F1F">
        <w:rPr>
          <w:rFonts w:ascii="David" w:hAnsi="David" w:cs="David"/>
          <w:rtl/>
        </w:rPr>
        <w:t xml:space="preserve"> 376-378.</w:t>
      </w:r>
    </w:p>
    <w:p w14:paraId="1FF9466E" w14:textId="77777777" w:rsidR="002C2765" w:rsidRPr="00E43432" w:rsidRDefault="002C2765" w:rsidP="002C2765">
      <w:pPr>
        <w:numPr>
          <w:ilvl w:val="0"/>
          <w:numId w:val="4"/>
        </w:numPr>
        <w:tabs>
          <w:tab w:val="num" w:pos="540"/>
        </w:tabs>
        <w:spacing w:before="240" w:line="360" w:lineRule="auto"/>
        <w:jc w:val="both"/>
        <w:rPr>
          <w:rFonts w:ascii="David" w:hAnsi="David" w:cs="David"/>
          <w:rtl/>
        </w:rPr>
      </w:pPr>
      <w:r w:rsidRPr="00E43432">
        <w:rPr>
          <w:rFonts w:ascii="David" w:hAnsi="David" w:cs="David"/>
          <w:rtl/>
        </w:rPr>
        <w:t>עוד נאמר על כך:</w:t>
      </w:r>
    </w:p>
    <w:p w14:paraId="390FB68A" w14:textId="77777777" w:rsidR="002C2765" w:rsidRPr="00F66283" w:rsidRDefault="002C2765" w:rsidP="002C2765">
      <w:pPr>
        <w:spacing w:before="240" w:line="360" w:lineRule="auto"/>
        <w:ind w:left="1440" w:right="851"/>
        <w:jc w:val="both"/>
        <w:rPr>
          <w:rFonts w:ascii="David" w:hAnsi="David" w:cs="David"/>
          <w:b/>
          <w:bCs/>
          <w:rtl/>
        </w:rPr>
      </w:pPr>
      <w:r w:rsidRPr="00F66283">
        <w:rPr>
          <w:rFonts w:ascii="David" w:hAnsi="David" w:cs="David"/>
          <w:rtl/>
        </w:rPr>
        <w:t xml:space="preserve">"עיקרון נוסף שחשיבותו הוכרה בפסיקת בית משפט זה הינו עיקרון הפלורליזם. ההנחה היא שמרכיב בסיסי וחיוני בחיי דמוקרטיה תקינים הוא הפלורליזם, שכן המגוון הוא המבטא את הדמוקרטיה הלכה למעשה. </w:t>
      </w:r>
      <w:r w:rsidRPr="00F66283">
        <w:rPr>
          <w:rFonts w:ascii="David" w:hAnsi="David" w:cs="David"/>
          <w:b/>
          <w:bCs/>
          <w:rtl/>
        </w:rPr>
        <w:t xml:space="preserve">מדינה דמוקרטית מכבדת את כל הזרמים, התפיסות והשונויות שבה, נותנת להם מרחב קיום ופעולה, ואף תומכת בהם באופן שוויוני. חברה דמוקרטית אף אינה יכולה להסתפק במתן אפשרות קיום לזרמים שונים, </w:t>
      </w:r>
      <w:r w:rsidRPr="00F66283">
        <w:rPr>
          <w:rFonts w:ascii="David" w:hAnsi="David" w:cs="David"/>
          <w:b/>
          <w:bCs/>
          <w:u w:val="single"/>
          <w:rtl/>
        </w:rPr>
        <w:t>ועליה לתת תמיכה כספית שוויונית לכל הזרמים</w:t>
      </w:r>
      <w:r w:rsidRPr="00F66283">
        <w:rPr>
          <w:rFonts w:ascii="David" w:hAnsi="David" w:cs="David"/>
          <w:b/>
          <w:bCs/>
          <w:rtl/>
        </w:rPr>
        <w:t>."</w:t>
      </w:r>
    </w:p>
    <w:p w14:paraId="2ADA9809" w14:textId="77777777" w:rsidR="002C2765" w:rsidRPr="00F66283" w:rsidRDefault="002C2765" w:rsidP="002C2765">
      <w:pPr>
        <w:spacing w:before="240" w:line="360" w:lineRule="auto"/>
        <w:ind w:left="1440" w:right="851"/>
        <w:jc w:val="both"/>
        <w:rPr>
          <w:rFonts w:ascii="David" w:hAnsi="David" w:cs="David"/>
          <w:rtl/>
        </w:rPr>
      </w:pPr>
      <w:r w:rsidRPr="00F66283">
        <w:rPr>
          <w:rFonts w:ascii="David" w:hAnsi="David" w:cs="David"/>
          <w:rtl/>
        </w:rPr>
        <w:t xml:space="preserve">בג"ץ 11020/05 </w:t>
      </w:r>
      <w:r w:rsidRPr="00F66283">
        <w:rPr>
          <w:rFonts w:ascii="David" w:hAnsi="David" w:cs="David"/>
          <w:b/>
          <w:bCs/>
          <w:rtl/>
        </w:rPr>
        <w:t>פנים להתחדשות יהודית בישראל נ'  שרת החינוך</w:t>
      </w:r>
      <w:r w:rsidRPr="00F66283">
        <w:rPr>
          <w:rFonts w:ascii="David" w:hAnsi="David" w:cs="David"/>
          <w:rtl/>
        </w:rPr>
        <w:t xml:space="preserve"> (פורסם בנבו) (16.7.06) (ההדגשה נוספה).</w:t>
      </w:r>
    </w:p>
    <w:p w14:paraId="7AA7C2B6" w14:textId="77777777" w:rsidR="002C2765" w:rsidRPr="00A4770E" w:rsidRDefault="002C2765" w:rsidP="002C2765">
      <w:pPr>
        <w:numPr>
          <w:ilvl w:val="0"/>
          <w:numId w:val="4"/>
        </w:numPr>
        <w:tabs>
          <w:tab w:val="num" w:pos="540"/>
        </w:tabs>
        <w:spacing w:before="240" w:line="360" w:lineRule="auto"/>
        <w:jc w:val="both"/>
        <w:rPr>
          <w:rFonts w:ascii="David" w:hAnsi="David" w:cs="David"/>
          <w:rtl/>
        </w:rPr>
      </w:pPr>
      <w:r w:rsidRPr="00A4770E">
        <w:rPr>
          <w:rFonts w:ascii="David" w:hAnsi="David" w:cs="David"/>
          <w:rtl/>
        </w:rPr>
        <w:t>בהקשר זה נפסק כי החובה לעקרון הפלורליזם</w:t>
      </w:r>
      <w:r w:rsidRPr="00A4770E">
        <w:rPr>
          <w:rFonts w:ascii="David" w:hAnsi="David" w:cs="David" w:hint="cs"/>
          <w:rtl/>
        </w:rPr>
        <w:t xml:space="preserve"> </w:t>
      </w:r>
      <w:r w:rsidRPr="00A4770E">
        <w:rPr>
          <w:rFonts w:ascii="David" w:hAnsi="David" w:cs="David"/>
          <w:rtl/>
        </w:rPr>
        <w:t>"...אינה מסתכמת בחובה פסיבית בלבד. יש למחויבות זו היבט אקטיבי, המטיל על המדינה חובה - בנסיבות בהן החליטה לתמוך כלכלית בפעילותו של זרם מסוים - להענ</w:t>
      </w:r>
      <w:r w:rsidRPr="0084608A">
        <w:rPr>
          <w:rFonts w:ascii="David" w:hAnsi="David" w:cs="David"/>
          <w:rtl/>
        </w:rPr>
        <w:t xml:space="preserve">יק תמיכה ליתר הזרמים, כך גם לעניין זרמים דתיים... </w:t>
      </w:r>
      <w:r w:rsidRPr="0084608A">
        <w:rPr>
          <w:rFonts w:ascii="David" w:hAnsi="David" w:cs="David"/>
          <w:color w:val="000000"/>
          <w:spacing w:val="10"/>
          <w:rtl/>
        </w:rPr>
        <w:t xml:space="preserve">אין מוטלת על המדינה חובה לתמוך בגופים פרטיים שונים. אולם, משבחרה המדינה לתמוך במכוני גיור פרטיים של התנועה האורתודוכסית, מחייבה עקרון הפלורליזם להעניק תמיכה אף למכוני הגיור של זרמים אחרים ביהדות. משלא עשתה כן, פעלה היא בניגוד לחובתה לאפשר קיומן של מגוון דעות ורעיונות תורניים באופן ההולם את תפיסות היסוד של המדינה הדמוקרטית" </w:t>
      </w:r>
      <w:r w:rsidRPr="0084608A">
        <w:rPr>
          <w:rFonts w:ascii="David" w:hAnsi="David" w:cs="David"/>
          <w:rtl/>
        </w:rPr>
        <w:t xml:space="preserve"> (בג"ץ 11585/05 </w:t>
      </w:r>
      <w:r w:rsidRPr="0084608A">
        <w:rPr>
          <w:rFonts w:ascii="David" w:hAnsi="David" w:cs="David"/>
          <w:b/>
          <w:bCs/>
          <w:rtl/>
        </w:rPr>
        <w:t>התנועה ליהדות מתקדמת נ' המשרד לקליטת עלייה</w:t>
      </w:r>
      <w:r w:rsidRPr="0084608A">
        <w:rPr>
          <w:rFonts w:ascii="David" w:hAnsi="David" w:cs="David"/>
          <w:rtl/>
        </w:rPr>
        <w:t>, להלן</w:t>
      </w:r>
      <w:r>
        <w:rPr>
          <w:rFonts w:ascii="David" w:hAnsi="David" w:cs="David" w:hint="cs"/>
          <w:rtl/>
        </w:rPr>
        <w:t xml:space="preserve">: ענין </w:t>
      </w:r>
      <w:r>
        <w:rPr>
          <w:rFonts w:ascii="David" w:hAnsi="David" w:cs="David" w:hint="cs"/>
          <w:b/>
          <w:bCs/>
          <w:rtl/>
        </w:rPr>
        <w:t xml:space="preserve">התנועה ליהדות מתקדמת, </w:t>
      </w:r>
      <w:r w:rsidRPr="00A4770E">
        <w:rPr>
          <w:rFonts w:ascii="David" w:hAnsi="David" w:cs="David"/>
          <w:rtl/>
        </w:rPr>
        <w:t xml:space="preserve">פסקה 17). </w:t>
      </w:r>
    </w:p>
    <w:p w14:paraId="10E5BBC1" w14:textId="4D29EC20" w:rsidR="002C2765" w:rsidRPr="004D0CD1" w:rsidRDefault="002C2765" w:rsidP="002C2765">
      <w:pPr>
        <w:numPr>
          <w:ilvl w:val="0"/>
          <w:numId w:val="4"/>
        </w:numPr>
        <w:tabs>
          <w:tab w:val="num" w:pos="540"/>
        </w:tabs>
        <w:spacing w:before="240" w:line="360" w:lineRule="auto"/>
        <w:jc w:val="both"/>
        <w:rPr>
          <w:rFonts w:ascii="David" w:hAnsi="David" w:cs="David"/>
          <w:rtl/>
        </w:rPr>
      </w:pPr>
      <w:r>
        <w:rPr>
          <w:rFonts w:ascii="David" w:hAnsi="David" w:cs="David" w:hint="cs"/>
          <w:rtl/>
        </w:rPr>
        <w:t xml:space="preserve">משהחליטה המשיבה לאפשר שימוש במשאבים עירוניים לצורך קיום טקסי חתונה, היא מחויבת לעשות זאת באופן שוויוני כלפי כל הזרמים. בהחלטתה להגביל את השימוש במיזם רק לזוגות הטרוסקסואליים הנישאים דרך הרבנות הפרה המשיבה את </w:t>
      </w:r>
      <w:r w:rsidRPr="00E43432">
        <w:rPr>
          <w:rFonts w:ascii="David" w:hAnsi="David" w:cs="David"/>
          <w:rtl/>
        </w:rPr>
        <w:t>חובתה לעודד קיומן של תפיסות דתיות שונות</w:t>
      </w:r>
      <w:r>
        <w:rPr>
          <w:rFonts w:ascii="David" w:hAnsi="David" w:cs="David" w:hint="cs"/>
          <w:rtl/>
        </w:rPr>
        <w:t>.</w:t>
      </w:r>
    </w:p>
    <w:p w14:paraId="69239D9D" w14:textId="77777777" w:rsidR="0011147B" w:rsidRPr="0011147B" w:rsidRDefault="002C2765" w:rsidP="0011147B">
      <w:pPr>
        <w:tabs>
          <w:tab w:val="num" w:pos="540"/>
        </w:tabs>
        <w:spacing w:before="240" w:line="360" w:lineRule="auto"/>
        <w:jc w:val="both"/>
        <w:rPr>
          <w:rFonts w:ascii="David" w:hAnsi="David" w:cs="David"/>
        </w:rPr>
      </w:pPr>
      <w:r w:rsidRPr="0011147B">
        <w:rPr>
          <w:rFonts w:ascii="David" w:hAnsi="David" w:cs="David"/>
          <w:b/>
          <w:bCs/>
          <w:u w:val="single"/>
          <w:rtl/>
        </w:rPr>
        <w:t xml:space="preserve">פגיעה בחופש הדת </w:t>
      </w:r>
    </w:p>
    <w:p w14:paraId="09A19BAC" w14:textId="64E9670F" w:rsidR="002C2765" w:rsidRPr="004D0CD1" w:rsidRDefault="002C2765" w:rsidP="00A21A8E">
      <w:pPr>
        <w:numPr>
          <w:ilvl w:val="0"/>
          <w:numId w:val="4"/>
        </w:numPr>
        <w:tabs>
          <w:tab w:val="num" w:pos="540"/>
        </w:tabs>
        <w:spacing w:before="240" w:line="360" w:lineRule="auto"/>
        <w:jc w:val="both"/>
        <w:rPr>
          <w:rFonts w:ascii="David" w:hAnsi="David" w:cs="David"/>
        </w:rPr>
      </w:pPr>
      <w:r w:rsidRPr="00E43432">
        <w:rPr>
          <w:rFonts w:ascii="David" w:hAnsi="David" w:cs="David"/>
          <w:rtl/>
        </w:rPr>
        <w:t>חופש הדת ה</w:t>
      </w:r>
      <w:r>
        <w:rPr>
          <w:rFonts w:ascii="David" w:hAnsi="David" w:cs="David" w:hint="cs"/>
          <w:rtl/>
        </w:rPr>
        <w:t>ינ</w:t>
      </w:r>
      <w:r w:rsidRPr="00E43432">
        <w:rPr>
          <w:rFonts w:ascii="David" w:hAnsi="David" w:cs="David"/>
          <w:rtl/>
        </w:rPr>
        <w:t xml:space="preserve">ו כלל יסוד במערכת המשפטית של מדינת ישראל (בג"ץ 292/83 </w:t>
      </w:r>
      <w:r w:rsidRPr="00E43432">
        <w:rPr>
          <w:rFonts w:ascii="David" w:hAnsi="David" w:cs="David"/>
          <w:b/>
          <w:bCs/>
          <w:rtl/>
        </w:rPr>
        <w:t>נאמני הר הבית נ' מפקד משטרת מרחב ירושלים</w:t>
      </w:r>
      <w:r w:rsidRPr="00E43432">
        <w:rPr>
          <w:rFonts w:ascii="David" w:hAnsi="David" w:cs="David"/>
          <w:rtl/>
        </w:rPr>
        <w:t xml:space="preserve">, פ"ד לח(2) 449, 454). חופש הדת נמנה עם החירויות שעליהן מושתת משטרנו הדמוקרטי (השופט קיסטר בבג"ץ 291/74 </w:t>
      </w:r>
      <w:r w:rsidRPr="00E43432">
        <w:rPr>
          <w:rFonts w:ascii="David" w:hAnsi="David" w:cs="David"/>
          <w:b/>
          <w:bCs/>
          <w:rtl/>
        </w:rPr>
        <w:t>בילט נ' הרב הראשי לישראל</w:t>
      </w:r>
      <w:r w:rsidRPr="00E43432">
        <w:rPr>
          <w:rFonts w:ascii="David" w:hAnsi="David" w:cs="David"/>
          <w:rtl/>
        </w:rPr>
        <w:t xml:space="preserve">, פ"ד כט(1) 98, 101). הוא נמנה על זכויות היסוד של האדם וקשור למימוש זהותו העצמית (בג"ץ 10356/02 </w:t>
      </w:r>
      <w:r w:rsidRPr="00E43432">
        <w:rPr>
          <w:rFonts w:ascii="David" w:hAnsi="David" w:cs="David"/>
          <w:b/>
          <w:bCs/>
          <w:rtl/>
        </w:rPr>
        <w:t>הס נ' מפקד כוחות צה"ל בגדה המערבית</w:t>
      </w:r>
      <w:r w:rsidRPr="00E43432">
        <w:rPr>
          <w:rFonts w:ascii="David" w:hAnsi="David" w:cs="David"/>
          <w:rtl/>
        </w:rPr>
        <w:t xml:space="preserve">, פ"ד נח(3) 443, 461). </w:t>
      </w:r>
      <w:r w:rsidRPr="00E43432">
        <w:rPr>
          <w:rFonts w:ascii="David" w:hAnsi="David" w:cs="David"/>
          <w:rtl/>
        </w:rPr>
        <w:lastRenderedPageBreak/>
        <w:t xml:space="preserve">הוא היבט של כבוד האדם (ע"א 6024/97 </w:t>
      </w:r>
      <w:r w:rsidRPr="00E43432">
        <w:rPr>
          <w:rFonts w:ascii="David" w:hAnsi="David" w:cs="David"/>
          <w:b/>
          <w:bCs/>
          <w:rtl/>
        </w:rPr>
        <w:t>שביט נ' חברה קדישא גחש"א ראשל"צ</w:t>
      </w:r>
      <w:r w:rsidRPr="00E43432">
        <w:rPr>
          <w:rFonts w:ascii="David" w:hAnsi="David" w:cs="David"/>
          <w:rtl/>
        </w:rPr>
        <w:t>, פ"ד נג(3) 600, 653</w:t>
      </w:r>
      <w:r w:rsidR="00A21A8E">
        <w:rPr>
          <w:rFonts w:ascii="David" w:hAnsi="David" w:cs="David" w:hint="cs"/>
          <w:rtl/>
        </w:rPr>
        <w:t xml:space="preserve">, להלן: ענין </w:t>
      </w:r>
      <w:r w:rsidR="00A21A8E">
        <w:rPr>
          <w:rFonts w:ascii="David" w:hAnsi="David" w:cs="David" w:hint="cs"/>
          <w:b/>
          <w:bCs/>
          <w:rtl/>
        </w:rPr>
        <w:t>שביט</w:t>
      </w:r>
      <w:r w:rsidRPr="00E43432">
        <w:rPr>
          <w:rFonts w:ascii="David" w:hAnsi="David" w:cs="David"/>
          <w:rtl/>
        </w:rPr>
        <w:t xml:space="preserve">). </w:t>
      </w:r>
    </w:p>
    <w:p w14:paraId="17DDC49E" w14:textId="77777777" w:rsidR="002C2765" w:rsidRPr="00E43432" w:rsidRDefault="002C2765" w:rsidP="002C2765">
      <w:pPr>
        <w:numPr>
          <w:ilvl w:val="0"/>
          <w:numId w:val="4"/>
        </w:numPr>
        <w:tabs>
          <w:tab w:val="num" w:pos="540"/>
        </w:tabs>
        <w:spacing w:before="240" w:line="360" w:lineRule="auto"/>
        <w:jc w:val="both"/>
        <w:rPr>
          <w:rFonts w:ascii="David" w:hAnsi="David" w:cs="David"/>
        </w:rPr>
      </w:pPr>
      <w:r w:rsidRPr="00E43432">
        <w:rPr>
          <w:rFonts w:ascii="David" w:hAnsi="David" w:cs="David"/>
          <w:rtl/>
        </w:rPr>
        <w:t xml:space="preserve">מתוקף חופש זה, מכירה המדינה בזכותו של אדם להגדרה עצמית "בגדרו של זרם דתי כזה או אחר" (בג"ץ 2597/99 </w:t>
      </w:r>
      <w:r w:rsidRPr="00E43432">
        <w:rPr>
          <w:rFonts w:ascii="David" w:hAnsi="David" w:cs="David"/>
          <w:b/>
          <w:bCs/>
          <w:rtl/>
        </w:rPr>
        <w:t>רודריגז-טושביים נ' שר הפנים</w:t>
      </w:r>
      <w:r w:rsidRPr="00E43432">
        <w:rPr>
          <w:rFonts w:ascii="David" w:hAnsi="David" w:cs="David"/>
          <w:rtl/>
        </w:rPr>
        <w:t xml:space="preserve">, פ"ד נח(5) 412, 440). בעשותה כן, המדינה מאמצת תפיסה המכירה בחשיבותו של פלורליזם דתי "המשתלב בתפיסות יסוד חוקתיות של חופש דת וחירות הרוח של האדם" (בג"ץ 1031/91 </w:t>
      </w:r>
      <w:r w:rsidRPr="00E43432">
        <w:rPr>
          <w:rFonts w:ascii="David" w:hAnsi="David" w:cs="David"/>
          <w:b/>
          <w:bCs/>
          <w:rtl/>
        </w:rPr>
        <w:t>פסרו (גולדשטיין) נ' שר הפנים</w:t>
      </w:r>
      <w:r w:rsidRPr="00E43432">
        <w:rPr>
          <w:rFonts w:ascii="David" w:hAnsi="David" w:cs="David"/>
          <w:rtl/>
        </w:rPr>
        <w:t xml:space="preserve">, פ"ד מט(4) 661, 687; בג"ץ 265/87 </w:t>
      </w:r>
      <w:r w:rsidRPr="00E43432">
        <w:rPr>
          <w:rFonts w:ascii="David" w:hAnsi="David" w:cs="David"/>
          <w:b/>
          <w:bCs/>
          <w:rtl/>
        </w:rPr>
        <w:t>ברספורד נ' משרד הפנים</w:t>
      </w:r>
      <w:r w:rsidRPr="00E43432">
        <w:rPr>
          <w:rFonts w:ascii="David" w:hAnsi="David" w:cs="David"/>
          <w:rtl/>
        </w:rPr>
        <w:t>, פ"ד מג(4) 793, 843).</w:t>
      </w:r>
    </w:p>
    <w:p w14:paraId="31CC9E8B" w14:textId="44FD78E8" w:rsidR="002C2765" w:rsidRPr="004D0CD1" w:rsidRDefault="002C2765" w:rsidP="00BE5BC2">
      <w:pPr>
        <w:numPr>
          <w:ilvl w:val="0"/>
          <w:numId w:val="4"/>
        </w:numPr>
        <w:tabs>
          <w:tab w:val="num" w:pos="540"/>
        </w:tabs>
        <w:spacing w:before="240" w:line="360" w:lineRule="auto"/>
        <w:jc w:val="both"/>
        <w:rPr>
          <w:rFonts w:ascii="David" w:hAnsi="David" w:cs="David"/>
          <w:rtl/>
        </w:rPr>
      </w:pPr>
      <w:r w:rsidRPr="00E43432">
        <w:rPr>
          <w:rFonts w:ascii="David" w:hAnsi="David" w:cs="David"/>
          <w:rtl/>
        </w:rPr>
        <w:t xml:space="preserve">פועל יוצא של חופש הדת </w:t>
      </w:r>
      <w:r>
        <w:rPr>
          <w:rFonts w:ascii="David" w:hAnsi="David" w:cs="David" w:hint="cs"/>
          <w:rtl/>
        </w:rPr>
        <w:t>הוא היכולת לחגוג טקסי חיים משמעותיים באופן התואם את השקפת העולם של האדם.</w:t>
      </w:r>
      <w:r w:rsidRPr="00E43432">
        <w:rPr>
          <w:rFonts w:ascii="David" w:hAnsi="David" w:cs="David"/>
          <w:b/>
          <w:bCs/>
          <w:rtl/>
        </w:rPr>
        <w:t xml:space="preserve"> במקום בו </w:t>
      </w:r>
      <w:r>
        <w:rPr>
          <w:rFonts w:ascii="David" w:hAnsi="David" w:cs="David" w:hint="cs"/>
          <w:b/>
          <w:bCs/>
          <w:rtl/>
        </w:rPr>
        <w:t>המשיבה תומכת</w:t>
      </w:r>
      <w:r w:rsidRPr="00E43432">
        <w:rPr>
          <w:rFonts w:ascii="David" w:hAnsi="David" w:cs="David"/>
          <w:b/>
          <w:bCs/>
          <w:rtl/>
        </w:rPr>
        <w:t xml:space="preserve"> </w:t>
      </w:r>
      <w:r>
        <w:rPr>
          <w:rFonts w:ascii="David" w:hAnsi="David" w:cs="David" w:hint="cs"/>
          <w:b/>
          <w:bCs/>
          <w:rtl/>
        </w:rPr>
        <w:t>בקיומם של טקסים דתיים</w:t>
      </w:r>
      <w:r w:rsidRPr="00E43432">
        <w:rPr>
          <w:rFonts w:ascii="David" w:hAnsi="David" w:cs="David"/>
          <w:b/>
          <w:bCs/>
          <w:rtl/>
        </w:rPr>
        <w:t xml:space="preserve">, </w:t>
      </w:r>
      <w:r>
        <w:rPr>
          <w:rFonts w:ascii="David" w:hAnsi="David" w:cs="David" w:hint="cs"/>
          <w:b/>
          <w:bCs/>
          <w:rtl/>
        </w:rPr>
        <w:t>באמצעות העמדת משאבים עירוניים לצורך קיום הטקס, היא מחויבת לעשות כן באופן שמכבד את חופש הדת של כלל תושביה</w:t>
      </w:r>
      <w:r w:rsidRPr="00E43432">
        <w:rPr>
          <w:rFonts w:ascii="David" w:hAnsi="David" w:cs="David"/>
          <w:rtl/>
        </w:rPr>
        <w:t xml:space="preserve">. על חובה זו עמד השופט זמיר בפרשת התנועה המסורתית: </w:t>
      </w:r>
    </w:p>
    <w:p w14:paraId="11EAF65E" w14:textId="77777777" w:rsidR="002C2765" w:rsidRDefault="002C2765" w:rsidP="002C2765">
      <w:pPr>
        <w:spacing w:before="240" w:line="360" w:lineRule="auto"/>
        <w:ind w:left="1440" w:right="851"/>
        <w:jc w:val="both"/>
        <w:rPr>
          <w:rFonts w:ascii="David" w:hAnsi="David" w:cs="David"/>
          <w:rtl/>
        </w:rPr>
      </w:pPr>
      <w:r w:rsidRPr="00E43432">
        <w:rPr>
          <w:rFonts w:ascii="David" w:hAnsi="David"/>
          <w:rtl/>
        </w:rPr>
        <w:t>"</w:t>
      </w:r>
      <w:r w:rsidRPr="00FC6B85">
        <w:rPr>
          <w:rFonts w:ascii="David" w:hAnsi="David" w:cs="David"/>
          <w:rtl/>
        </w:rPr>
        <w:t xml:space="preserve">לחופש הדת, כמו לזכויות אחרות, יש שתי פנים. מצד אחד, חופש הדת </w:t>
      </w:r>
      <w:r w:rsidRPr="00FC6B85">
        <w:rPr>
          <w:rFonts w:ascii="David" w:hAnsi="David" w:cs="David"/>
          <w:sz w:val="22"/>
          <w:szCs w:val="22"/>
          <w:rtl/>
        </w:rPr>
        <w:t>מקנה</w:t>
      </w:r>
      <w:r w:rsidRPr="00FC6B85">
        <w:rPr>
          <w:rFonts w:ascii="David" w:hAnsi="David" w:cs="David"/>
          <w:rtl/>
        </w:rPr>
        <w:t xml:space="preserve"> חירות לכל אדם או גוף לבחור לעצמו תפיסה דתית כרצונו. מצד שני, </w:t>
      </w:r>
      <w:r w:rsidRPr="00FC6B85">
        <w:rPr>
          <w:rFonts w:ascii="David" w:hAnsi="David" w:cs="David"/>
          <w:b/>
          <w:bCs/>
          <w:rtl/>
        </w:rPr>
        <w:t>חופש הדת מטיל איסור על כל רשות מינהלית לפגוע באדם או גוף, ובכלל זה איסור להפלות אדם או גוף, בשל תפיסה דתית שבחר לעצמו</w:t>
      </w:r>
      <w:r w:rsidRPr="00FC6B85">
        <w:rPr>
          <w:rFonts w:ascii="David" w:hAnsi="David" w:cs="David"/>
          <w:rtl/>
        </w:rPr>
        <w:t xml:space="preserve">." </w:t>
      </w:r>
    </w:p>
    <w:p w14:paraId="7DFA2CA4" w14:textId="77777777" w:rsidR="002C2765" w:rsidRPr="004D0CD1" w:rsidRDefault="002C2765" w:rsidP="002C2765">
      <w:pPr>
        <w:spacing w:before="240" w:line="360" w:lineRule="auto"/>
        <w:ind w:left="1440" w:right="851"/>
        <w:jc w:val="both"/>
        <w:rPr>
          <w:rFonts w:ascii="David" w:hAnsi="David" w:cs="David"/>
          <w:rtl/>
        </w:rPr>
      </w:pPr>
      <w:r>
        <w:rPr>
          <w:rFonts w:ascii="David" w:hAnsi="David" w:cs="David" w:hint="cs"/>
          <w:rtl/>
        </w:rPr>
        <w:t>עניין</w:t>
      </w:r>
      <w:r w:rsidRPr="00E43432">
        <w:rPr>
          <w:rFonts w:ascii="David" w:hAnsi="David" w:cs="David"/>
          <w:rtl/>
        </w:rPr>
        <w:t xml:space="preserve"> </w:t>
      </w:r>
      <w:r w:rsidRPr="00E43432">
        <w:rPr>
          <w:rFonts w:ascii="David" w:hAnsi="David" w:cs="David"/>
          <w:b/>
          <w:bCs/>
          <w:rtl/>
        </w:rPr>
        <w:t>התנועה המסורתית</w:t>
      </w:r>
      <w:r>
        <w:rPr>
          <w:rFonts w:ascii="David" w:hAnsi="David" w:cs="David"/>
          <w:rtl/>
        </w:rPr>
        <w:t>,</w:t>
      </w:r>
      <w:r>
        <w:rPr>
          <w:rFonts w:ascii="David" w:hAnsi="David" w:cs="David" w:hint="cs"/>
          <w:rtl/>
        </w:rPr>
        <w:t xml:space="preserve"> בע'</w:t>
      </w:r>
      <w:r>
        <w:rPr>
          <w:rFonts w:ascii="David" w:hAnsi="David" w:cs="David"/>
          <w:rtl/>
        </w:rPr>
        <w:t xml:space="preserve"> 374-375</w:t>
      </w:r>
      <w:r>
        <w:rPr>
          <w:rFonts w:ascii="David" w:hAnsi="David" w:cs="David" w:hint="cs"/>
          <w:rtl/>
        </w:rPr>
        <w:t>.</w:t>
      </w:r>
    </w:p>
    <w:p w14:paraId="018F8E23" w14:textId="77777777" w:rsidR="002C2765" w:rsidRPr="00E43432" w:rsidRDefault="002C2765" w:rsidP="002C2765">
      <w:pPr>
        <w:numPr>
          <w:ilvl w:val="0"/>
          <w:numId w:val="4"/>
        </w:numPr>
        <w:tabs>
          <w:tab w:val="num" w:pos="540"/>
        </w:tabs>
        <w:spacing w:before="240" w:line="360" w:lineRule="auto"/>
        <w:jc w:val="both"/>
        <w:rPr>
          <w:rFonts w:ascii="David" w:hAnsi="David" w:cs="David"/>
          <w:rtl/>
        </w:rPr>
      </w:pPr>
      <w:r w:rsidRPr="00E43432">
        <w:rPr>
          <w:rFonts w:ascii="David" w:hAnsi="David" w:cs="David"/>
          <w:rtl/>
        </w:rPr>
        <w:t>עוד נאמר בעני</w:t>
      </w:r>
      <w:r>
        <w:rPr>
          <w:rFonts w:ascii="David" w:hAnsi="David" w:cs="David" w:hint="cs"/>
          <w:rtl/>
        </w:rPr>
        <w:t>י</w:t>
      </w:r>
      <w:r w:rsidRPr="00E43432">
        <w:rPr>
          <w:rFonts w:ascii="David" w:hAnsi="David" w:cs="David"/>
          <w:rtl/>
        </w:rPr>
        <w:t>ן זה:</w:t>
      </w:r>
    </w:p>
    <w:p w14:paraId="7B4C803F" w14:textId="77777777" w:rsidR="002C2765" w:rsidRPr="00D57C9F" w:rsidRDefault="002C2765" w:rsidP="002C2765">
      <w:pPr>
        <w:spacing w:before="240" w:line="360" w:lineRule="auto"/>
        <w:ind w:left="1440" w:right="851"/>
        <w:jc w:val="both"/>
        <w:rPr>
          <w:rFonts w:ascii="David" w:hAnsi="David" w:cs="David"/>
          <w:rtl/>
        </w:rPr>
      </w:pPr>
      <w:r w:rsidRPr="00B92773">
        <w:rPr>
          <w:rFonts w:ascii="David" w:hAnsi="David" w:cs="David"/>
          <w:rtl/>
        </w:rPr>
        <w:t>"חופש הדת כולל בחובו שני ציווים כלפי המדינה – עשה ולא תעשה, בבחינת "סוּר מֵרָע וַעֲשֵׂה טוֹב " (תהלים ל"ד, ט"ו): ראשית, להימנע מהתע</w:t>
      </w:r>
      <w:r w:rsidRPr="00D57C9F">
        <w:rPr>
          <w:rFonts w:ascii="David" w:hAnsi="David" w:cs="David"/>
          <w:rtl/>
        </w:rPr>
        <w:t>רבות בחיים הדתיים של אדם; ושנית, לספק תשתית הולמת לקיומם של חיים דתיים."</w:t>
      </w:r>
      <w:r w:rsidRPr="00D57C9F">
        <w:rPr>
          <w:rFonts w:ascii="David" w:hAnsi="David" w:cs="David" w:hint="cs"/>
          <w:rtl/>
        </w:rPr>
        <w:t xml:space="preserve"> </w:t>
      </w:r>
      <w:r w:rsidRPr="00D57C9F">
        <w:rPr>
          <w:rFonts w:ascii="David" w:hAnsi="David" w:cs="David"/>
          <w:rtl/>
        </w:rPr>
        <w:t xml:space="preserve">(ההדגשה </w:t>
      </w:r>
      <w:r w:rsidRPr="00D57C9F">
        <w:rPr>
          <w:rFonts w:ascii="David" w:hAnsi="David" w:cs="David" w:hint="eastAsia"/>
          <w:rtl/>
        </w:rPr>
        <w:t>הוספה</w:t>
      </w:r>
      <w:r w:rsidRPr="00D57C9F">
        <w:rPr>
          <w:rFonts w:ascii="David" w:hAnsi="David" w:cs="David"/>
          <w:rtl/>
        </w:rPr>
        <w:t>)</w:t>
      </w:r>
    </w:p>
    <w:p w14:paraId="40E0DF2F" w14:textId="77777777" w:rsidR="002C2765" w:rsidRPr="00B92773" w:rsidRDefault="002C2765" w:rsidP="002C2765">
      <w:pPr>
        <w:autoSpaceDE/>
        <w:autoSpaceDN/>
        <w:spacing w:before="240" w:line="360" w:lineRule="auto"/>
        <w:ind w:left="1502" w:right="1276"/>
        <w:jc w:val="both"/>
        <w:rPr>
          <w:rFonts w:ascii="David" w:hAnsi="David" w:cs="David"/>
          <w:rtl/>
        </w:rPr>
      </w:pPr>
      <w:r w:rsidRPr="00D57C9F">
        <w:rPr>
          <w:rFonts w:ascii="David" w:hAnsi="David" w:cs="David"/>
          <w:rtl/>
        </w:rPr>
        <w:t>עע"מ</w:t>
      </w:r>
      <w:r w:rsidRPr="00B92773">
        <w:rPr>
          <w:rFonts w:ascii="David" w:hAnsi="David" w:cs="David"/>
          <w:rtl/>
        </w:rPr>
        <w:t xml:space="preserve">  5875/10 </w:t>
      </w:r>
      <w:r w:rsidRPr="00B92773">
        <w:rPr>
          <w:rFonts w:ascii="David" w:hAnsi="David" w:cs="David"/>
          <w:b/>
          <w:bCs/>
          <w:rtl/>
        </w:rPr>
        <w:t>התנועה המסורתית נ' המועצה הדתית באר שבע</w:t>
      </w:r>
      <w:r>
        <w:rPr>
          <w:rFonts w:ascii="David" w:hAnsi="David" w:cs="David" w:hint="cs"/>
          <w:b/>
          <w:bCs/>
          <w:rtl/>
        </w:rPr>
        <w:t>.</w:t>
      </w:r>
    </w:p>
    <w:p w14:paraId="0DDEDB7B" w14:textId="77777777" w:rsidR="002C2765" w:rsidRDefault="002C2765" w:rsidP="002C2765">
      <w:pPr>
        <w:pStyle w:val="a3"/>
        <w:autoSpaceDE/>
        <w:autoSpaceDN/>
        <w:spacing w:line="360" w:lineRule="auto"/>
        <w:ind w:left="510"/>
        <w:jc w:val="both"/>
        <w:rPr>
          <w:rFonts w:ascii="David" w:hAnsi="David" w:cs="David"/>
          <w:color w:val="000000"/>
        </w:rPr>
      </w:pPr>
    </w:p>
    <w:p w14:paraId="3996A326" w14:textId="77777777" w:rsidR="002C2765" w:rsidRPr="00631C32" w:rsidRDefault="002C2765" w:rsidP="002C2765">
      <w:pPr>
        <w:pStyle w:val="a3"/>
        <w:numPr>
          <w:ilvl w:val="0"/>
          <w:numId w:val="4"/>
        </w:numPr>
        <w:tabs>
          <w:tab w:val="num" w:pos="540"/>
        </w:tabs>
        <w:autoSpaceDE/>
        <w:autoSpaceDN/>
        <w:spacing w:before="240" w:line="360" w:lineRule="auto"/>
        <w:jc w:val="both"/>
        <w:rPr>
          <w:rFonts w:ascii="David" w:hAnsi="David" w:cs="David"/>
        </w:rPr>
      </w:pPr>
      <w:r w:rsidRPr="00631C32">
        <w:rPr>
          <w:rFonts w:ascii="David" w:hAnsi="David" w:cs="David" w:hint="cs"/>
          <w:color w:val="000000"/>
          <w:rtl/>
        </w:rPr>
        <w:t xml:space="preserve">ברי כי כאשר מדובר בבני זוג שאינם יכולים להירשם לנישואים בארץ - משום שאינם מוכרים כיהודים על ידי הממסד הרבני כגון חסרי סיווג דתי או גרים לא אורתודוכסיים, או כאשר מדובר בבני זוג להט"ב </w:t>
      </w:r>
      <w:r w:rsidRPr="00631C32">
        <w:rPr>
          <w:rFonts w:ascii="David" w:hAnsi="David" w:cs="David"/>
          <w:color w:val="000000"/>
          <w:rtl/>
        </w:rPr>
        <w:t>–</w:t>
      </w:r>
      <w:r w:rsidRPr="00631C32">
        <w:rPr>
          <w:rFonts w:ascii="David" w:hAnsi="David" w:cs="David" w:hint="cs"/>
          <w:color w:val="000000"/>
          <w:rtl/>
        </w:rPr>
        <w:t xml:space="preserve"> </w:t>
      </w:r>
      <w:r>
        <w:rPr>
          <w:rFonts w:ascii="David" w:hAnsi="David" w:cs="David" w:hint="cs"/>
          <w:color w:val="000000"/>
          <w:rtl/>
        </w:rPr>
        <w:t xml:space="preserve">סירוב להעמיד את משאבי העירייה לצורך קיום טקס הנישואים היחיד שהם יכולים לערוך בארץ </w:t>
      </w:r>
      <w:r>
        <w:rPr>
          <w:rFonts w:ascii="David" w:hAnsi="David" w:cs="David"/>
          <w:color w:val="000000"/>
          <w:rtl/>
        </w:rPr>
        <w:t>–</w:t>
      </w:r>
      <w:r>
        <w:rPr>
          <w:rFonts w:ascii="David" w:hAnsi="David" w:cs="David" w:hint="cs"/>
          <w:color w:val="000000"/>
          <w:rtl/>
        </w:rPr>
        <w:t xml:space="preserve"> מהווה פגיעה חמורה בחופש הדת שלהם.</w:t>
      </w:r>
    </w:p>
    <w:p w14:paraId="62FDBBC0" w14:textId="77777777" w:rsidR="002C2765" w:rsidRPr="00631C32" w:rsidRDefault="002C2765" w:rsidP="002C2765">
      <w:pPr>
        <w:pStyle w:val="a3"/>
        <w:tabs>
          <w:tab w:val="num" w:pos="540"/>
        </w:tabs>
        <w:autoSpaceDE/>
        <w:autoSpaceDN/>
        <w:spacing w:before="240" w:line="360" w:lineRule="auto"/>
        <w:ind w:left="510"/>
        <w:jc w:val="both"/>
        <w:rPr>
          <w:rFonts w:ascii="David" w:hAnsi="David" w:cs="David"/>
        </w:rPr>
      </w:pPr>
    </w:p>
    <w:p w14:paraId="3B189183" w14:textId="61390A56" w:rsidR="002C2765" w:rsidRPr="00D57C9F" w:rsidRDefault="002C2765" w:rsidP="00BE5BC2">
      <w:pPr>
        <w:pStyle w:val="a3"/>
        <w:numPr>
          <w:ilvl w:val="0"/>
          <w:numId w:val="4"/>
        </w:numPr>
        <w:tabs>
          <w:tab w:val="num" w:pos="540"/>
        </w:tabs>
        <w:autoSpaceDE/>
        <w:autoSpaceDN/>
        <w:spacing w:before="240" w:line="360" w:lineRule="auto"/>
        <w:jc w:val="both"/>
        <w:rPr>
          <w:rFonts w:ascii="David" w:hAnsi="David" w:cs="David"/>
        </w:rPr>
      </w:pPr>
      <w:r>
        <w:rPr>
          <w:rFonts w:ascii="David" w:hAnsi="David" w:cs="David" w:hint="cs"/>
          <w:color w:val="000000"/>
          <w:rtl/>
        </w:rPr>
        <w:t>גם כ</w:t>
      </w:r>
      <w:r w:rsidRPr="00631C32">
        <w:rPr>
          <w:rFonts w:ascii="David" w:hAnsi="David" w:cs="David" w:hint="cs"/>
          <w:color w:val="000000"/>
          <w:rtl/>
        </w:rPr>
        <w:t xml:space="preserve">אשר </w:t>
      </w:r>
      <w:r>
        <w:rPr>
          <w:rFonts w:ascii="David" w:hAnsi="David" w:cs="David" w:hint="cs"/>
          <w:color w:val="000000"/>
          <w:rtl/>
        </w:rPr>
        <w:t>מדובר ב</w:t>
      </w:r>
      <w:r w:rsidRPr="00631C32">
        <w:rPr>
          <w:rFonts w:ascii="David" w:hAnsi="David" w:cs="David" w:hint="cs"/>
          <w:color w:val="000000"/>
          <w:rtl/>
        </w:rPr>
        <w:t xml:space="preserve">זוגות הבוחרים להינשא מחוץ לרבנות בטקס שוויוני התואם את השקפת עולמם, </w:t>
      </w:r>
      <w:r w:rsidR="00BE5BC2">
        <w:rPr>
          <w:rFonts w:ascii="David" w:hAnsi="David" w:cs="David" w:hint="cs"/>
          <w:color w:val="000000"/>
          <w:rtl/>
        </w:rPr>
        <w:t xml:space="preserve">כמו העותרים 1-2, </w:t>
      </w:r>
      <w:r w:rsidRPr="00631C32">
        <w:rPr>
          <w:rFonts w:ascii="David" w:hAnsi="David" w:cs="David" w:hint="cs"/>
          <w:color w:val="000000"/>
          <w:rtl/>
        </w:rPr>
        <w:t>ההחלטה על אופי טקס הנישואים מהווה חלק אינטגרלי מחופש הדת הנתון ל</w:t>
      </w:r>
      <w:r w:rsidR="00BE5BC2">
        <w:rPr>
          <w:rFonts w:ascii="David" w:hAnsi="David" w:cs="David" w:hint="cs"/>
          <w:color w:val="000000"/>
          <w:rtl/>
        </w:rPr>
        <w:t>הם</w:t>
      </w:r>
      <w:r w:rsidRPr="00631C32">
        <w:rPr>
          <w:rFonts w:ascii="David" w:hAnsi="David" w:cs="David" w:hint="cs"/>
          <w:color w:val="000000"/>
          <w:rtl/>
        </w:rPr>
        <w:t>. לא ייתכן שבשל הבחירה בטקס כזה או אחר, ייפגעו זכויותיהם של בני הזוג</w:t>
      </w:r>
      <w:r>
        <w:rPr>
          <w:rFonts w:ascii="David" w:hAnsi="David" w:cs="David" w:hint="cs"/>
          <w:color w:val="000000"/>
          <w:rtl/>
        </w:rPr>
        <w:t>.</w:t>
      </w:r>
    </w:p>
    <w:p w14:paraId="3893237C" w14:textId="77777777" w:rsidR="002C2765" w:rsidRPr="00D57C9F" w:rsidRDefault="002C2765" w:rsidP="002C2765">
      <w:pPr>
        <w:pStyle w:val="a3"/>
        <w:rPr>
          <w:rFonts w:ascii="David" w:hAnsi="David" w:cs="David"/>
          <w:rtl/>
        </w:rPr>
      </w:pPr>
    </w:p>
    <w:p w14:paraId="7FC51E2A" w14:textId="77777777" w:rsidR="002C2765" w:rsidRDefault="002C2765" w:rsidP="002C2765">
      <w:pPr>
        <w:pStyle w:val="a3"/>
        <w:numPr>
          <w:ilvl w:val="0"/>
          <w:numId w:val="4"/>
        </w:numPr>
        <w:tabs>
          <w:tab w:val="num" w:pos="540"/>
        </w:tabs>
        <w:autoSpaceDE/>
        <w:autoSpaceDN/>
        <w:spacing w:before="240" w:line="360" w:lineRule="auto"/>
        <w:jc w:val="both"/>
        <w:rPr>
          <w:rFonts w:ascii="David" w:hAnsi="David" w:cs="David"/>
        </w:rPr>
      </w:pPr>
      <w:r>
        <w:rPr>
          <w:rFonts w:ascii="David" w:hAnsi="David" w:cs="David" w:hint="cs"/>
          <w:rtl/>
        </w:rPr>
        <w:t xml:space="preserve">בענין </w:t>
      </w:r>
      <w:r>
        <w:rPr>
          <w:rFonts w:ascii="David" w:hAnsi="David" w:cs="David" w:hint="cs"/>
          <w:b/>
          <w:bCs/>
          <w:rtl/>
        </w:rPr>
        <w:t>התנועה ליהדות מתקדמת</w:t>
      </w:r>
      <w:r>
        <w:rPr>
          <w:rFonts w:ascii="David" w:hAnsi="David" w:cs="David" w:hint="cs"/>
          <w:rtl/>
        </w:rPr>
        <w:t xml:space="preserve">, שעסק בסירובה של המדינה לממן כתות הכנה לגיור של התנועה הרפורמית, ביקשה המדינה להסתמך על הנפקויות השונות של הגיור הרפורמי והגיור </w:t>
      </w:r>
      <w:r>
        <w:rPr>
          <w:rFonts w:ascii="David" w:hAnsi="David" w:cs="David" w:hint="cs"/>
          <w:rtl/>
        </w:rPr>
        <w:lastRenderedPageBreak/>
        <w:t>האורתודוכסי כדי להצדיק את ההבחנה. בית המשפט דחה טענה זו וקבע שיש בה פגיעה בחופש הדת:</w:t>
      </w:r>
    </w:p>
    <w:p w14:paraId="48233475" w14:textId="77777777" w:rsidR="002C2765" w:rsidRPr="00D57C9F" w:rsidRDefault="002C2765" w:rsidP="002C2765">
      <w:pPr>
        <w:pStyle w:val="a3"/>
        <w:rPr>
          <w:rFonts w:ascii="David" w:hAnsi="David" w:cs="David"/>
          <w:rtl/>
        </w:rPr>
      </w:pPr>
    </w:p>
    <w:p w14:paraId="09A04872" w14:textId="77777777" w:rsidR="002C2765" w:rsidRPr="00A4770E" w:rsidRDefault="002C2765" w:rsidP="002C2765">
      <w:pPr>
        <w:spacing w:before="240" w:line="360" w:lineRule="auto"/>
        <w:ind w:left="1440" w:right="851"/>
        <w:jc w:val="both"/>
        <w:rPr>
          <w:rFonts w:ascii="David" w:hAnsi="David" w:cs="David"/>
          <w:b/>
          <w:bCs/>
          <w:color w:val="000000"/>
          <w:spacing w:val="10"/>
          <w:rtl/>
        </w:rPr>
      </w:pPr>
      <w:r w:rsidRPr="00A4770E">
        <w:rPr>
          <w:rFonts w:ascii="David" w:hAnsi="David" w:cs="David"/>
          <w:color w:val="000000"/>
          <w:spacing w:val="10"/>
          <w:rtl/>
        </w:rPr>
        <w:t>"מבקשת המדינה לטעון כי רק באמצעות הליך הגיור האורתודוכסי יזכה הפרט להיות חלק מן החברה הישראלית באופן שלם ומלא, ומבלעדי הליך זה עלולה השתייכותו הדתית להיוותר </w:t>
      </w:r>
      <w:r w:rsidRPr="00A4770E">
        <w:rPr>
          <w:rFonts w:ascii="David" w:hAnsi="David" w:cs="David"/>
          <w:color w:val="000000"/>
        </w:rPr>
        <w:t>"</w:t>
      </w:r>
      <w:r w:rsidRPr="00A4770E">
        <w:rPr>
          <w:rFonts w:ascii="David" w:hAnsi="David" w:cs="David"/>
          <w:color w:val="000000"/>
          <w:rtl/>
        </w:rPr>
        <w:t>נתונה בספק</w:t>
      </w:r>
      <w:r w:rsidRPr="00A4770E">
        <w:rPr>
          <w:rFonts w:ascii="David" w:hAnsi="David" w:cs="David"/>
          <w:color w:val="000000"/>
        </w:rPr>
        <w:t>" </w:t>
      </w:r>
      <w:r w:rsidRPr="00A4770E">
        <w:rPr>
          <w:rFonts w:ascii="David" w:hAnsi="David" w:cs="David"/>
          <w:color w:val="000000"/>
          <w:spacing w:val="10"/>
          <w:rtl/>
        </w:rPr>
        <w:t>לאורך כל חייו</w:t>
      </w:r>
      <w:r w:rsidRPr="00A4770E">
        <w:rPr>
          <w:rFonts w:ascii="David" w:hAnsi="David" w:cs="David"/>
          <w:color w:val="000000"/>
          <w:rtl/>
        </w:rPr>
        <w:t> </w:t>
      </w:r>
      <w:r w:rsidRPr="00A4770E">
        <w:rPr>
          <w:rFonts w:ascii="David" w:hAnsi="David" w:cs="David"/>
          <w:color w:val="000000"/>
        </w:rPr>
        <w:t>"</w:t>
      </w:r>
      <w:r w:rsidRPr="00A4770E">
        <w:rPr>
          <w:rFonts w:ascii="David" w:hAnsi="David" w:cs="David"/>
          <w:color w:val="000000"/>
          <w:rtl/>
        </w:rPr>
        <w:t>לפחות בעיני יהודים רבים, המתגוררים בישראל וברחבי העולם כולו</w:t>
      </w:r>
      <w:r w:rsidRPr="00A4770E">
        <w:rPr>
          <w:rFonts w:ascii="David" w:hAnsi="David" w:cs="David"/>
          <w:color w:val="000000"/>
        </w:rPr>
        <w:t>"</w:t>
      </w:r>
      <w:r w:rsidRPr="00A4770E">
        <w:rPr>
          <w:rFonts w:ascii="David" w:hAnsi="David" w:cs="David"/>
          <w:color w:val="000000"/>
          <w:spacing w:val="10"/>
        </w:rPr>
        <w:t> (</w:t>
      </w:r>
      <w:r w:rsidRPr="00A4770E">
        <w:rPr>
          <w:rFonts w:ascii="David" w:hAnsi="David" w:cs="David"/>
          <w:color w:val="000000"/>
          <w:spacing w:val="10"/>
          <w:rtl/>
        </w:rPr>
        <w:t xml:space="preserve">סעיף 30 לתצהיר התשובה). מבלי להידרש לטענת המדינה בהקשר זה לעיצומה, נראה לנו כי </w:t>
      </w:r>
      <w:r w:rsidRPr="00A4770E">
        <w:rPr>
          <w:rFonts w:ascii="David" w:hAnsi="David" w:cs="David"/>
          <w:b/>
          <w:bCs/>
          <w:color w:val="000000"/>
          <w:spacing w:val="10"/>
          <w:rtl/>
        </w:rPr>
        <w:t>ההחלטה בעניין זה ראוי לה שתתקבל על-ידי הפרט הבוגר המבקש לבחור לו את אורח חייו ותפיסותיו הדתיות. במסגרת בחירתו זו, ברי כי על הפרט המבקש להתגייר לשוות לנגד עיניו את המשמעויות של הליך הגיור בו הוא בוחר וההשלכות המשפטיות והחברתיות שלו, אך בכך אין כדי להצדיק הכרעה להעדפת מתן תמיכות</w:t>
      </w:r>
      <w:r w:rsidRPr="00A4770E">
        <w:rPr>
          <w:rFonts w:ascii="David" w:hAnsi="David" w:cs="David"/>
          <w:color w:val="000000"/>
          <w:spacing w:val="10"/>
          <w:rtl/>
        </w:rPr>
        <w:t xml:space="preserve"> אך למכוני הגיור האורתודוכסים הפרטיים. </w:t>
      </w:r>
      <w:r w:rsidRPr="00A4770E">
        <w:rPr>
          <w:rFonts w:ascii="David" w:hAnsi="David" w:cs="David"/>
          <w:b/>
          <w:bCs/>
          <w:color w:val="000000"/>
          <w:spacing w:val="10"/>
          <w:rtl/>
        </w:rPr>
        <w:t>עמדתה זו של המדינה מנוגדת אף לעקרון חופש הדת והמצפון ולעקרון הפלורליזם, עת מחליטה היא עבור הפרט כיצד עליו לראות עצמו כמי שהשתלב השתלבות תרבותית ורוחנית מלאה בחברה הישראלית, מבלי לאפשר לו באופן אמיתי את חופש הבחירה באשר לזרם הדתי המועדף עליו לצורך הגשמת מטרה זו; לפיכך אין הבחנה זו לעצמה יכולה לעמוד...</w:t>
      </w:r>
    </w:p>
    <w:p w14:paraId="6507EC04" w14:textId="77777777" w:rsidR="002C2765" w:rsidRPr="00A4770E" w:rsidRDefault="002C2765" w:rsidP="002C2765">
      <w:pPr>
        <w:spacing w:before="240" w:line="360" w:lineRule="auto"/>
        <w:ind w:left="1440" w:right="851"/>
        <w:jc w:val="both"/>
        <w:rPr>
          <w:rFonts w:ascii="David" w:hAnsi="David" w:cs="David"/>
        </w:rPr>
      </w:pPr>
      <w:r w:rsidRPr="00A4770E">
        <w:rPr>
          <w:rFonts w:ascii="David" w:hAnsi="David" w:cs="David"/>
          <w:color w:val="000000"/>
          <w:spacing w:val="10"/>
          <w:rtl/>
        </w:rPr>
        <w:t xml:space="preserve">שאלת הנפקויות המשפטיות של הליך הגיור עבור הפרט אינה יכולה כשלעצמה להצדיק הבחנה בין קבוצות המקיימות פעילות הדומה במהותה ואשר שואפת להשיג תכלית זהה - שילובם התרבותי והרוחני של אזרחים ותושבים ישראלים בחברה ובקהילה בישראל. </w:t>
      </w:r>
      <w:r w:rsidRPr="00A4770E">
        <w:rPr>
          <w:rFonts w:ascii="David" w:hAnsi="David" w:cs="David"/>
          <w:b/>
          <w:bCs/>
          <w:color w:val="000000"/>
          <w:spacing w:val="10"/>
          <w:rtl/>
        </w:rPr>
        <w:t xml:space="preserve">ההחלטה לעניין נפקויות ההליך נתונה בידי הפרט הבוחר בהליך, בהתאם לתפיסתו הדתית, והמדינה מחויבת בהתאם לעקרון חופש הדת והפלורליזם לאפשר קיומם של אלו לצד אלו, </w:t>
      </w:r>
      <w:r w:rsidRPr="00A4770E">
        <w:rPr>
          <w:rFonts w:ascii="David" w:hAnsi="David" w:cs="David"/>
          <w:color w:val="000000"/>
          <w:spacing w:val="10"/>
          <w:rtl/>
        </w:rPr>
        <w:t>בכלל זה תוך מתן תמיכה מקום בו מצאה לתמוך באחת מן הקבוצות, כבענייננו</w:t>
      </w:r>
      <w:r w:rsidRPr="00A4770E">
        <w:rPr>
          <w:rFonts w:ascii="David" w:hAnsi="David" w:cs="David"/>
          <w:color w:val="000000"/>
          <w:spacing w:val="10"/>
        </w:rPr>
        <w:t>.</w:t>
      </w:r>
      <w:r w:rsidRPr="00A4770E">
        <w:rPr>
          <w:rFonts w:ascii="David" w:hAnsi="David" w:cs="David"/>
          <w:b/>
          <w:bCs/>
          <w:color w:val="000000"/>
          <w:spacing w:val="10"/>
          <w:rtl/>
        </w:rPr>
        <w:t>"</w:t>
      </w:r>
      <w:r>
        <w:rPr>
          <w:rFonts w:ascii="David" w:hAnsi="David" w:cs="David" w:hint="cs"/>
          <w:b/>
          <w:bCs/>
          <w:color w:val="000000"/>
          <w:spacing w:val="10"/>
          <w:rtl/>
        </w:rPr>
        <w:t xml:space="preserve"> </w:t>
      </w:r>
      <w:r w:rsidRPr="0084608A">
        <w:rPr>
          <w:rFonts w:ascii="David" w:hAnsi="David" w:cs="David" w:hint="cs"/>
          <w:color w:val="000000"/>
          <w:spacing w:val="10"/>
          <w:rtl/>
        </w:rPr>
        <w:t>(</w:t>
      </w:r>
      <w:r w:rsidRPr="00A4770E">
        <w:rPr>
          <w:rFonts w:ascii="David" w:hAnsi="David" w:cs="David" w:hint="cs"/>
          <w:rtl/>
        </w:rPr>
        <w:t>סעיפים 19-20</w:t>
      </w:r>
      <w:r>
        <w:rPr>
          <w:rFonts w:ascii="David" w:hAnsi="David" w:cs="David" w:hint="cs"/>
          <w:rtl/>
        </w:rPr>
        <w:t>)</w:t>
      </w:r>
      <w:r w:rsidRPr="00A4770E">
        <w:rPr>
          <w:rFonts w:ascii="David" w:hAnsi="David" w:cs="David" w:hint="cs"/>
          <w:rtl/>
        </w:rPr>
        <w:t>.</w:t>
      </w:r>
    </w:p>
    <w:p w14:paraId="3E8B7050" w14:textId="44CC7E1A" w:rsidR="00EE5538" w:rsidRPr="00B72859" w:rsidRDefault="00EE5538" w:rsidP="00B72859">
      <w:pPr>
        <w:pStyle w:val="a3"/>
        <w:numPr>
          <w:ilvl w:val="0"/>
          <w:numId w:val="4"/>
        </w:numPr>
        <w:tabs>
          <w:tab w:val="num" w:pos="540"/>
        </w:tabs>
        <w:autoSpaceDE/>
        <w:autoSpaceDN/>
        <w:spacing w:before="240" w:line="360" w:lineRule="auto"/>
        <w:jc w:val="both"/>
        <w:rPr>
          <w:rFonts w:cs="David"/>
          <w:rtl/>
        </w:rPr>
      </w:pPr>
      <w:r w:rsidRPr="00A21A8E">
        <w:rPr>
          <w:rFonts w:cs="David"/>
          <w:rtl/>
        </w:rPr>
        <w:t>כידוע, חופש הדת מקפל בתוכו גם את הזכות לחופש מדת. מעיקרון זה נגזר כי אין כופים - לא במישרין ולא בעקיפין - מצוות דת על מי שאינם שומרי מצוות, ואי</w:t>
      </w:r>
      <w:r w:rsidR="00A21A8E" w:rsidRPr="00A21A8E">
        <w:rPr>
          <w:rFonts w:cs="David"/>
          <w:rtl/>
        </w:rPr>
        <w:t xml:space="preserve">נם </w:t>
      </w:r>
      <w:r w:rsidR="00A21A8E" w:rsidRPr="00B72859">
        <w:rPr>
          <w:rFonts w:ascii="David" w:hAnsi="David" w:cs="David"/>
          <w:rtl/>
        </w:rPr>
        <w:t>מעוניינים</w:t>
      </w:r>
      <w:r w:rsidR="00A21A8E" w:rsidRPr="00A21A8E">
        <w:rPr>
          <w:rFonts w:cs="David"/>
          <w:rtl/>
        </w:rPr>
        <w:t xml:space="preserve"> לקיים את מצוות הדת</w:t>
      </w:r>
      <w:r w:rsidR="00A21A8E" w:rsidRPr="00A21A8E">
        <w:rPr>
          <w:rFonts w:cs="David"/>
        </w:rPr>
        <w:t xml:space="preserve">: </w:t>
      </w:r>
      <w:r w:rsidRPr="00B72859">
        <w:rPr>
          <w:rFonts w:cs="David"/>
          <w:rtl/>
        </w:rPr>
        <w:t xml:space="preserve">"כנגד חופש הדת של האחד עומד החופש של השני לפעול על-פי </w:t>
      </w:r>
      <w:r w:rsidRPr="00B72859">
        <w:rPr>
          <w:rFonts w:ascii="David" w:hAnsi="David" w:cs="David"/>
          <w:rtl/>
        </w:rPr>
        <w:t>האוטונומיה</w:t>
      </w:r>
      <w:r w:rsidRPr="00B72859">
        <w:rPr>
          <w:rFonts w:cs="David"/>
          <w:rtl/>
        </w:rPr>
        <w:t xml:space="preserve"> של הרצון הפרטי. </w:t>
      </w:r>
      <w:r w:rsidRPr="00B72859">
        <w:rPr>
          <w:rFonts w:ascii="David" w:hAnsi="David" w:cs="David"/>
          <w:color w:val="000000"/>
          <w:spacing w:val="10"/>
          <w:rtl/>
        </w:rPr>
        <w:t>זהו</w:t>
      </w:r>
      <w:r w:rsidRPr="00B72859">
        <w:rPr>
          <w:rFonts w:cs="David"/>
          <w:rtl/>
        </w:rPr>
        <w:t xml:space="preserve"> החופש של הפרט שלא לראות עצמו מחויב</w:t>
      </w:r>
      <w:r w:rsidR="00A21A8E" w:rsidRPr="00A21A8E">
        <w:rPr>
          <w:rFonts w:cs="David"/>
          <w:rtl/>
        </w:rPr>
        <w:t xml:space="preserve"> באיסור דתי שהוא אינו מאמין בו</w:t>
      </w:r>
      <w:r w:rsidRPr="00B72859">
        <w:rPr>
          <w:rFonts w:cs="David"/>
          <w:rtl/>
        </w:rPr>
        <w:t xml:space="preserve">" </w:t>
      </w:r>
      <w:r w:rsidR="00A21A8E">
        <w:rPr>
          <w:rFonts w:cs="David" w:hint="cs"/>
          <w:rtl/>
        </w:rPr>
        <w:t>(ענין</w:t>
      </w:r>
      <w:r w:rsidRPr="00B72859">
        <w:rPr>
          <w:rFonts w:cs="David"/>
          <w:rtl/>
        </w:rPr>
        <w:t xml:space="preserve"> </w:t>
      </w:r>
      <w:r w:rsidRPr="00B72859">
        <w:rPr>
          <w:rFonts w:cs="David"/>
          <w:b/>
          <w:bCs/>
          <w:rtl/>
        </w:rPr>
        <w:t>שביט</w:t>
      </w:r>
      <w:r w:rsidR="00A21A8E">
        <w:rPr>
          <w:rFonts w:cs="David" w:hint="cs"/>
          <w:b/>
          <w:bCs/>
          <w:rtl/>
        </w:rPr>
        <w:t xml:space="preserve">, </w:t>
      </w:r>
      <w:r w:rsidR="00A21A8E" w:rsidRPr="00B72859">
        <w:rPr>
          <w:rFonts w:cs="David" w:hint="cs"/>
          <w:rtl/>
        </w:rPr>
        <w:t>בע'</w:t>
      </w:r>
      <w:r w:rsidRPr="00B72859">
        <w:rPr>
          <w:rFonts w:cs="David"/>
          <w:rtl/>
        </w:rPr>
        <w:t xml:space="preserve"> 650</w:t>
      </w:r>
      <w:r w:rsidR="00A21A8E">
        <w:rPr>
          <w:rFonts w:cs="David" w:hint="cs"/>
          <w:rtl/>
        </w:rPr>
        <w:t>)</w:t>
      </w:r>
      <w:r w:rsidRPr="00B72859">
        <w:rPr>
          <w:rFonts w:cs="David"/>
          <w:rtl/>
        </w:rPr>
        <w:t>.</w:t>
      </w:r>
      <w:r w:rsidR="00CF5EC9">
        <w:rPr>
          <w:rFonts w:cs="David" w:hint="cs"/>
          <w:rtl/>
        </w:rPr>
        <w:t xml:space="preserve"> ועוד נאמר בענין זה:</w:t>
      </w:r>
    </w:p>
    <w:p w14:paraId="066086FB" w14:textId="77777777" w:rsidR="00EE5538" w:rsidRPr="00B72859" w:rsidRDefault="00EE5538" w:rsidP="00B72859">
      <w:pPr>
        <w:spacing w:before="240" w:line="360" w:lineRule="auto"/>
        <w:ind w:left="1440" w:right="851"/>
        <w:jc w:val="both"/>
        <w:rPr>
          <w:rFonts w:cs="David"/>
          <w:rtl/>
        </w:rPr>
      </w:pPr>
      <w:r w:rsidRPr="00B72859">
        <w:rPr>
          <w:rFonts w:cs="David"/>
          <w:rtl/>
        </w:rPr>
        <w:lastRenderedPageBreak/>
        <w:t xml:space="preserve">"ההתחשבות בשיקולי הדת ובאורח החיים הדתי אסורה היא, אם הפעלת הסמכות נועדה לכפות על אדם את מצוות הדת. ההתחשבות בשיקולי הדת ובאורח החיים </w:t>
      </w:r>
      <w:r w:rsidRPr="00B72859">
        <w:rPr>
          <w:rFonts w:ascii="David" w:hAnsi="David" w:cs="David"/>
          <w:color w:val="000000"/>
          <w:spacing w:val="10"/>
          <w:rtl/>
        </w:rPr>
        <w:t>הדתי</w:t>
      </w:r>
      <w:r w:rsidRPr="00B72859">
        <w:rPr>
          <w:rFonts w:cs="David"/>
          <w:rtl/>
        </w:rPr>
        <w:t xml:space="preserve"> מותרת היא, אם היא נועדה לתת ביטוי לצורכי הדת של האדם... אכן, כפייה דתית נוגדת את הזכות לחופש הדת ואת כבוד האדם. התחשבות בצורכי הדת תואמת את חופש הדת ואת כבוד האדם."</w:t>
      </w:r>
    </w:p>
    <w:p w14:paraId="4026FD76" w14:textId="77777777" w:rsidR="00EE5538" w:rsidRPr="00B72859" w:rsidRDefault="00EE5538" w:rsidP="00EE5538">
      <w:pPr>
        <w:spacing w:after="120" w:line="312" w:lineRule="exact"/>
        <w:ind w:left="1418" w:right="1620"/>
        <w:rPr>
          <w:rFonts w:cs="David"/>
          <w:rtl/>
        </w:rPr>
      </w:pPr>
      <w:r w:rsidRPr="00B72859">
        <w:rPr>
          <w:rFonts w:cs="David"/>
          <w:rtl/>
        </w:rPr>
        <w:t xml:space="preserve">בג"ץ 5016/96 </w:t>
      </w:r>
      <w:r w:rsidRPr="00B72859">
        <w:rPr>
          <w:rFonts w:cs="David"/>
          <w:b/>
          <w:bCs/>
          <w:rtl/>
        </w:rPr>
        <w:t>חורב נ' שר התחבורה</w:t>
      </w:r>
      <w:r w:rsidRPr="00B72859">
        <w:rPr>
          <w:rFonts w:cs="David"/>
          <w:rtl/>
        </w:rPr>
        <w:t>, פ"ד נא (4) 1, 36.</w:t>
      </w:r>
    </w:p>
    <w:p w14:paraId="4832BFC4" w14:textId="79FD4270" w:rsidR="00EE5538" w:rsidRDefault="00CF5EC9" w:rsidP="00B72859">
      <w:pPr>
        <w:pStyle w:val="a3"/>
        <w:numPr>
          <w:ilvl w:val="0"/>
          <w:numId w:val="4"/>
        </w:numPr>
        <w:tabs>
          <w:tab w:val="num" w:pos="540"/>
        </w:tabs>
        <w:autoSpaceDE/>
        <w:autoSpaceDN/>
        <w:spacing w:before="240" w:line="360" w:lineRule="auto"/>
        <w:jc w:val="both"/>
        <w:rPr>
          <w:rFonts w:cs="David"/>
        </w:rPr>
      </w:pPr>
      <w:r>
        <w:rPr>
          <w:rFonts w:cs="David" w:hint="cs"/>
          <w:rtl/>
        </w:rPr>
        <w:t>התנאת נטילת חלק במיזם בכך שהזוג יינשא באמצעות הרבנות יש בה נסיון לכפות אורח חיים דתי אורתודוכסי על זוגות המבקשים להשתתף במיזם. זוהי התנהלות פסולה של המשיבה.</w:t>
      </w:r>
    </w:p>
    <w:p w14:paraId="7E3975D4" w14:textId="4D49B6D2" w:rsidR="00747F2F" w:rsidRDefault="00747F2F" w:rsidP="00E36628">
      <w:pPr>
        <w:autoSpaceDE/>
        <w:autoSpaceDN/>
        <w:spacing w:before="240" w:after="240" w:line="360" w:lineRule="auto"/>
        <w:jc w:val="both"/>
        <w:rPr>
          <w:rFonts w:ascii="David" w:hAnsi="David" w:cs="David"/>
          <w:b/>
          <w:bCs/>
          <w:u w:val="single"/>
          <w:rtl/>
        </w:rPr>
      </w:pPr>
      <w:r>
        <w:rPr>
          <w:rFonts w:ascii="David" w:hAnsi="David" w:cs="David" w:hint="cs"/>
          <w:b/>
          <w:bCs/>
          <w:u w:val="single"/>
          <w:rtl/>
        </w:rPr>
        <w:t>הפליה מחמת נטייה מינית</w:t>
      </w:r>
    </w:p>
    <w:p w14:paraId="7D6A35CE" w14:textId="31F248A4" w:rsidR="00E77EE2" w:rsidRDefault="00725036" w:rsidP="00BF6518">
      <w:pPr>
        <w:numPr>
          <w:ilvl w:val="0"/>
          <w:numId w:val="4"/>
        </w:numPr>
        <w:tabs>
          <w:tab w:val="num" w:pos="540"/>
        </w:tabs>
        <w:spacing w:before="240" w:line="360" w:lineRule="auto"/>
        <w:jc w:val="both"/>
        <w:rPr>
          <w:rFonts w:ascii="David" w:hAnsi="David" w:cs="David"/>
        </w:rPr>
      </w:pPr>
      <w:r>
        <w:rPr>
          <w:rFonts w:ascii="David" w:hAnsi="David" w:cs="David" w:hint="cs"/>
          <w:rtl/>
        </w:rPr>
        <w:t>עמדנו עד כה על הפגיעה בשוויון ובחופש הדת ו</w:t>
      </w:r>
      <w:r w:rsidR="00BF6518">
        <w:rPr>
          <w:rFonts w:ascii="David" w:hAnsi="David" w:cs="David" w:hint="cs"/>
          <w:rtl/>
        </w:rPr>
        <w:t>ב</w:t>
      </w:r>
      <w:r>
        <w:rPr>
          <w:rFonts w:ascii="David" w:hAnsi="David" w:cs="David" w:hint="cs"/>
          <w:rtl/>
        </w:rPr>
        <w:t>חופש מדת של מי ש</w:t>
      </w:r>
      <w:r w:rsidR="00BF6518">
        <w:rPr>
          <w:rFonts w:ascii="David" w:hAnsi="David" w:cs="David" w:hint="cs"/>
          <w:rtl/>
        </w:rPr>
        <w:t>מ</w:t>
      </w:r>
      <w:r>
        <w:rPr>
          <w:rFonts w:ascii="David" w:hAnsi="David" w:cs="David" w:hint="cs"/>
          <w:rtl/>
        </w:rPr>
        <w:t xml:space="preserve">חמת אמונתם אינם יכולים או מעוניינים להינשא בטקס נישואין </w:t>
      </w:r>
      <w:r w:rsidR="00BF6518">
        <w:rPr>
          <w:rFonts w:ascii="David" w:hAnsi="David" w:cs="David" w:hint="cs"/>
          <w:rtl/>
        </w:rPr>
        <w:t>אורתודוכסי באמצעות הרבנות</w:t>
      </w:r>
      <w:r>
        <w:rPr>
          <w:rFonts w:ascii="David" w:hAnsi="David" w:cs="David" w:hint="cs"/>
          <w:rtl/>
        </w:rPr>
        <w:t>.</w:t>
      </w:r>
    </w:p>
    <w:p w14:paraId="5CE877D2" w14:textId="6C8506A4" w:rsidR="00725036" w:rsidRDefault="00725036" w:rsidP="00725036">
      <w:pPr>
        <w:numPr>
          <w:ilvl w:val="0"/>
          <w:numId w:val="4"/>
        </w:numPr>
        <w:tabs>
          <w:tab w:val="num" w:pos="540"/>
        </w:tabs>
        <w:spacing w:before="240" w:line="360" w:lineRule="auto"/>
        <w:jc w:val="both"/>
        <w:rPr>
          <w:rFonts w:ascii="David" w:hAnsi="David" w:cs="David"/>
        </w:rPr>
      </w:pPr>
      <w:r>
        <w:rPr>
          <w:rFonts w:ascii="David" w:hAnsi="David" w:cs="David" w:hint="cs"/>
          <w:rtl/>
        </w:rPr>
        <w:t>הכפפת הזכאות להטבה הכלכלית המוצעת על ידי המשיבה רק למי שיכולים לבוא בברית הנישואין בטקס דתי פוגעת במישרין, ובאופן מוחלט וקטגורי, בבני זוג בני אותו המין. זאת, שכן אין אף לא אמונה דתית אחת המוכרת בישראל ורשאית לערוך טקסי נישואין</w:t>
      </w:r>
      <w:r w:rsidR="00BF6518">
        <w:rPr>
          <w:rFonts w:ascii="David" w:hAnsi="David" w:cs="David" w:hint="cs"/>
          <w:rtl/>
        </w:rPr>
        <w:t>,</w:t>
      </w:r>
      <w:r>
        <w:rPr>
          <w:rFonts w:ascii="David" w:hAnsi="David" w:cs="David" w:hint="cs"/>
          <w:rtl/>
        </w:rPr>
        <w:t xml:space="preserve"> אשר מאפשרת נישואין של בני אותו המין.</w:t>
      </w:r>
    </w:p>
    <w:p w14:paraId="4F8671AC" w14:textId="36D98B61" w:rsidR="00E36C7C" w:rsidRDefault="00E36C7C" w:rsidP="006334F8">
      <w:pPr>
        <w:numPr>
          <w:ilvl w:val="0"/>
          <w:numId w:val="4"/>
        </w:numPr>
        <w:tabs>
          <w:tab w:val="num" w:pos="540"/>
        </w:tabs>
        <w:spacing w:before="240" w:line="360" w:lineRule="auto"/>
        <w:jc w:val="both"/>
        <w:rPr>
          <w:rFonts w:ascii="David" w:hAnsi="David" w:cs="David"/>
        </w:rPr>
      </w:pPr>
      <w:r>
        <w:rPr>
          <w:rFonts w:ascii="David" w:hAnsi="David" w:cs="David" w:hint="cs"/>
          <w:rtl/>
        </w:rPr>
        <w:t>על מעמדה החוקתי של הזכות לשוויון על רקע נטייה מינית נדמה שאין צורך להרחיב. כבר ב</w:t>
      </w:r>
      <w:r w:rsidR="006334F8">
        <w:rPr>
          <w:rFonts w:ascii="David" w:hAnsi="David" w:cs="David" w:hint="cs"/>
          <w:rtl/>
        </w:rPr>
        <w:t>ענין</w:t>
      </w:r>
      <w:r>
        <w:rPr>
          <w:rFonts w:ascii="David" w:hAnsi="David" w:cs="David" w:hint="cs"/>
          <w:rtl/>
        </w:rPr>
        <w:t xml:space="preserve"> </w:t>
      </w:r>
      <w:r>
        <w:rPr>
          <w:rFonts w:ascii="David" w:hAnsi="David" w:cs="David" w:hint="cs"/>
          <w:b/>
          <w:bCs/>
          <w:rtl/>
        </w:rPr>
        <w:t>הבית הפתוח</w:t>
      </w:r>
      <w:r>
        <w:rPr>
          <w:rFonts w:ascii="David" w:hAnsi="David" w:cs="David" w:hint="cs"/>
          <w:rtl/>
        </w:rPr>
        <w:t xml:space="preserve"> עמד בית המשפט העליון על זכות חוקתית זו בציינו:</w:t>
      </w:r>
    </w:p>
    <w:p w14:paraId="064BDBD0" w14:textId="77777777" w:rsidR="00E36C7C" w:rsidRPr="00B72859" w:rsidRDefault="00E36C7C" w:rsidP="00B72859">
      <w:pPr>
        <w:spacing w:before="240" w:line="360" w:lineRule="auto"/>
        <w:ind w:left="1440" w:right="851"/>
        <w:jc w:val="both"/>
        <w:rPr>
          <w:rFonts w:ascii="David" w:hAnsi="David" w:cs="David"/>
          <w:rtl/>
        </w:rPr>
      </w:pPr>
      <w:r w:rsidRPr="00B72859">
        <w:rPr>
          <w:rFonts w:ascii="David" w:hAnsi="David" w:cs="David"/>
          <w:rtl/>
        </w:rPr>
        <w:t xml:space="preserve">"על </w:t>
      </w:r>
      <w:r w:rsidRPr="00B72859">
        <w:rPr>
          <w:rFonts w:ascii="David" w:hAnsi="David" w:cs="David" w:hint="eastAsia"/>
          <w:rtl/>
        </w:rPr>
        <w:t>רקע</w:t>
      </w:r>
      <w:r w:rsidRPr="00B72859">
        <w:rPr>
          <w:rFonts w:ascii="David" w:hAnsi="David" w:cs="David"/>
          <w:rtl/>
        </w:rPr>
        <w:t xml:space="preserve"> </w:t>
      </w:r>
      <w:r w:rsidRPr="00B72859">
        <w:rPr>
          <w:rFonts w:ascii="David" w:hAnsi="David" w:cs="David" w:hint="eastAsia"/>
          <w:rtl/>
        </w:rPr>
        <w:t>הוראות</w:t>
      </w:r>
      <w:r w:rsidRPr="00B72859">
        <w:rPr>
          <w:rFonts w:ascii="David" w:hAnsi="David" w:cs="David"/>
          <w:rtl/>
        </w:rPr>
        <w:t xml:space="preserve"> </w:t>
      </w:r>
      <w:r w:rsidRPr="00B72859">
        <w:rPr>
          <w:rFonts w:ascii="David" w:hAnsi="David" w:cs="David" w:hint="eastAsia"/>
          <w:rtl/>
        </w:rPr>
        <w:t>הדין</w:t>
      </w:r>
      <w:r w:rsidRPr="00B72859">
        <w:rPr>
          <w:rFonts w:ascii="David" w:hAnsi="David" w:cs="David"/>
          <w:rtl/>
        </w:rPr>
        <w:t xml:space="preserve"> </w:t>
      </w:r>
      <w:r w:rsidRPr="00B72859">
        <w:rPr>
          <w:rFonts w:ascii="David" w:hAnsi="David" w:cs="David" w:hint="eastAsia"/>
          <w:rtl/>
        </w:rPr>
        <w:t>שנקבעו</w:t>
      </w:r>
      <w:r w:rsidRPr="00B72859">
        <w:rPr>
          <w:rFonts w:ascii="David" w:hAnsi="David" w:cs="David"/>
          <w:rtl/>
        </w:rPr>
        <w:t xml:space="preserve"> </w:t>
      </w:r>
      <w:r w:rsidRPr="00B72859">
        <w:rPr>
          <w:rFonts w:ascii="David" w:hAnsi="David" w:cs="David" w:hint="eastAsia"/>
          <w:rtl/>
        </w:rPr>
        <w:t>על</w:t>
      </w:r>
      <w:r w:rsidRPr="00B72859">
        <w:rPr>
          <w:rFonts w:ascii="David" w:hAnsi="David" w:cs="David"/>
          <w:rtl/>
        </w:rPr>
        <w:t xml:space="preserve"> </w:t>
      </w:r>
      <w:r w:rsidRPr="00B72859">
        <w:rPr>
          <w:rFonts w:ascii="David" w:hAnsi="David" w:cs="David" w:hint="eastAsia"/>
          <w:rtl/>
        </w:rPr>
        <w:t>ידי</w:t>
      </w:r>
      <w:r w:rsidRPr="00B72859">
        <w:rPr>
          <w:rFonts w:ascii="David" w:hAnsi="David" w:cs="David"/>
          <w:rtl/>
        </w:rPr>
        <w:t xml:space="preserve"> </w:t>
      </w:r>
      <w:r w:rsidRPr="00B72859">
        <w:rPr>
          <w:rFonts w:ascii="David" w:hAnsi="David" w:cs="David" w:hint="eastAsia"/>
          <w:rtl/>
        </w:rPr>
        <w:t>המחוקק</w:t>
      </w:r>
      <w:r w:rsidRPr="00B72859">
        <w:rPr>
          <w:rFonts w:ascii="David" w:hAnsi="David" w:cs="David"/>
          <w:rtl/>
        </w:rPr>
        <w:t xml:space="preserve"> </w:t>
      </w:r>
      <w:r w:rsidRPr="00B72859">
        <w:rPr>
          <w:rFonts w:ascii="David" w:hAnsi="David" w:cs="David" w:hint="eastAsia"/>
          <w:rtl/>
        </w:rPr>
        <w:t>הישראלי</w:t>
      </w:r>
      <w:r w:rsidRPr="00B72859">
        <w:rPr>
          <w:rFonts w:ascii="David" w:hAnsi="David" w:cs="David"/>
          <w:rtl/>
        </w:rPr>
        <w:t xml:space="preserve"> </w:t>
      </w:r>
      <w:r w:rsidRPr="00B72859">
        <w:rPr>
          <w:rFonts w:ascii="David" w:hAnsi="David" w:cs="David" w:hint="eastAsia"/>
          <w:rtl/>
        </w:rPr>
        <w:t>ועל</w:t>
      </w:r>
      <w:r w:rsidRPr="00B72859">
        <w:rPr>
          <w:rFonts w:ascii="David" w:hAnsi="David" w:cs="David"/>
          <w:rtl/>
        </w:rPr>
        <w:t xml:space="preserve"> </w:t>
      </w:r>
      <w:r w:rsidRPr="00B72859">
        <w:rPr>
          <w:rFonts w:ascii="David" w:hAnsi="David" w:cs="David" w:hint="eastAsia"/>
          <w:rtl/>
        </w:rPr>
        <w:t>רקע</w:t>
      </w:r>
      <w:r w:rsidRPr="00B72859">
        <w:rPr>
          <w:rFonts w:ascii="David" w:hAnsi="David" w:cs="David"/>
          <w:rtl/>
        </w:rPr>
        <w:t xml:space="preserve"> </w:t>
      </w:r>
      <w:r w:rsidRPr="00B72859">
        <w:rPr>
          <w:rFonts w:ascii="David" w:hAnsi="David" w:cs="David" w:hint="eastAsia"/>
          <w:rtl/>
        </w:rPr>
        <w:t>הפסיקה</w:t>
      </w:r>
      <w:r w:rsidRPr="00B72859">
        <w:rPr>
          <w:rFonts w:ascii="David" w:hAnsi="David" w:cs="David"/>
          <w:rtl/>
        </w:rPr>
        <w:t xml:space="preserve"> </w:t>
      </w:r>
      <w:r w:rsidRPr="00B72859">
        <w:rPr>
          <w:rFonts w:ascii="David" w:hAnsi="David" w:cs="David" w:hint="eastAsia"/>
          <w:rtl/>
        </w:rPr>
        <w:t>שעסקה</w:t>
      </w:r>
      <w:r w:rsidRPr="00B72859">
        <w:rPr>
          <w:rFonts w:ascii="David" w:hAnsi="David" w:cs="David"/>
          <w:rtl/>
        </w:rPr>
        <w:t xml:space="preserve"> </w:t>
      </w:r>
      <w:r w:rsidRPr="00B72859">
        <w:rPr>
          <w:rFonts w:ascii="David" w:hAnsi="David" w:cs="David" w:hint="eastAsia"/>
          <w:rtl/>
        </w:rPr>
        <w:t>בעניינם</w:t>
      </w:r>
      <w:r w:rsidRPr="00B72859">
        <w:rPr>
          <w:rFonts w:ascii="David" w:hAnsi="David" w:cs="David"/>
          <w:rtl/>
        </w:rPr>
        <w:t xml:space="preserve">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חברי</w:t>
      </w:r>
      <w:r w:rsidRPr="00B72859">
        <w:rPr>
          <w:rFonts w:ascii="David" w:hAnsi="David" w:cs="David"/>
          <w:rtl/>
        </w:rPr>
        <w:t xml:space="preserve"> </w:t>
      </w:r>
      <w:r w:rsidRPr="00B72859">
        <w:rPr>
          <w:rFonts w:ascii="David" w:hAnsi="David" w:cs="David" w:hint="eastAsia"/>
          <w:rtl/>
        </w:rPr>
        <w:t>הקהילה</w:t>
      </w:r>
      <w:r w:rsidRPr="00B72859">
        <w:rPr>
          <w:rFonts w:ascii="David" w:hAnsi="David" w:cs="David"/>
          <w:rtl/>
        </w:rPr>
        <w:t xml:space="preserve"> </w:t>
      </w:r>
      <w:r w:rsidRPr="00B72859">
        <w:rPr>
          <w:rFonts w:ascii="David" w:hAnsi="David" w:cs="David" w:hint="eastAsia"/>
          <w:rtl/>
        </w:rPr>
        <w:t>הגאה</w:t>
      </w:r>
      <w:r w:rsidRPr="00B72859">
        <w:rPr>
          <w:rFonts w:ascii="David" w:hAnsi="David" w:cs="David"/>
          <w:rtl/>
        </w:rPr>
        <w:t xml:space="preserve">, </w:t>
      </w:r>
      <w:r w:rsidRPr="00B72859">
        <w:rPr>
          <w:rFonts w:ascii="David" w:hAnsi="David" w:cs="David" w:hint="eastAsia"/>
          <w:rtl/>
        </w:rPr>
        <w:t>כפי</w:t>
      </w:r>
      <w:r w:rsidRPr="00B72859">
        <w:rPr>
          <w:rFonts w:ascii="David" w:hAnsi="David" w:cs="David"/>
          <w:rtl/>
        </w:rPr>
        <w:t xml:space="preserve"> </w:t>
      </w:r>
      <w:r w:rsidRPr="00B72859">
        <w:rPr>
          <w:rFonts w:ascii="David" w:hAnsi="David" w:cs="David" w:hint="eastAsia"/>
          <w:rtl/>
        </w:rPr>
        <w:t>שנסקרו</w:t>
      </w:r>
      <w:r w:rsidRPr="00B72859">
        <w:rPr>
          <w:rFonts w:ascii="David" w:hAnsi="David" w:cs="David"/>
          <w:rtl/>
        </w:rPr>
        <w:t xml:space="preserve"> </w:t>
      </w:r>
      <w:r w:rsidRPr="00B72859">
        <w:rPr>
          <w:rFonts w:ascii="David" w:hAnsi="David" w:cs="David" w:hint="eastAsia"/>
          <w:rtl/>
        </w:rPr>
        <w:t>לעיל</w:t>
      </w:r>
      <w:r w:rsidRPr="00B72859">
        <w:rPr>
          <w:rFonts w:ascii="David" w:hAnsi="David" w:cs="David"/>
          <w:rtl/>
        </w:rPr>
        <w:t xml:space="preserve">, </w:t>
      </w:r>
      <w:r w:rsidRPr="00B72859">
        <w:rPr>
          <w:rFonts w:ascii="David" w:hAnsi="David" w:cs="David" w:hint="eastAsia"/>
          <w:rtl/>
        </w:rPr>
        <w:t>ומבלי</w:t>
      </w:r>
      <w:r w:rsidRPr="00B72859">
        <w:rPr>
          <w:rFonts w:ascii="David" w:hAnsi="David" w:cs="David"/>
          <w:rtl/>
        </w:rPr>
        <w:t xml:space="preserve"> </w:t>
      </w:r>
      <w:r w:rsidRPr="00B72859">
        <w:rPr>
          <w:rFonts w:ascii="David" w:hAnsi="David" w:cs="David" w:hint="eastAsia"/>
          <w:rtl/>
        </w:rPr>
        <w:t>לקבוע</w:t>
      </w:r>
      <w:r w:rsidRPr="00B72859">
        <w:rPr>
          <w:rFonts w:ascii="David" w:hAnsi="David" w:cs="David"/>
          <w:rtl/>
        </w:rPr>
        <w:t xml:space="preserve"> </w:t>
      </w:r>
      <w:r w:rsidRPr="00B72859">
        <w:rPr>
          <w:rFonts w:ascii="David" w:hAnsi="David" w:cs="David" w:hint="eastAsia"/>
          <w:rtl/>
        </w:rPr>
        <w:t>מסמרות</w:t>
      </w:r>
      <w:r w:rsidRPr="00B72859">
        <w:rPr>
          <w:rFonts w:ascii="David" w:hAnsi="David" w:cs="David"/>
          <w:rtl/>
        </w:rPr>
        <w:t xml:space="preserve">, </w:t>
      </w:r>
      <w:r w:rsidRPr="00B72859">
        <w:rPr>
          <w:rFonts w:ascii="David" w:hAnsi="David" w:cs="David" w:hint="eastAsia"/>
          <w:rtl/>
        </w:rPr>
        <w:t>דומה</w:t>
      </w:r>
      <w:r w:rsidRPr="00B72859">
        <w:rPr>
          <w:rFonts w:ascii="David" w:hAnsi="David" w:cs="David"/>
          <w:rtl/>
        </w:rPr>
        <w:t xml:space="preserve"> </w:t>
      </w:r>
      <w:r w:rsidRPr="00B72859">
        <w:rPr>
          <w:rFonts w:ascii="David" w:hAnsi="David" w:cs="David" w:hint="eastAsia"/>
          <w:rtl/>
        </w:rPr>
        <w:t>כי</w:t>
      </w:r>
      <w:r w:rsidRPr="00B72859">
        <w:rPr>
          <w:rFonts w:ascii="David" w:hAnsi="David" w:cs="David"/>
          <w:rtl/>
        </w:rPr>
        <w:t xml:space="preserve"> </w:t>
      </w:r>
      <w:r w:rsidRPr="00B72859">
        <w:rPr>
          <w:rFonts w:ascii="David" w:hAnsi="David" w:cs="David" w:hint="eastAsia"/>
          <w:rtl/>
        </w:rPr>
        <w:t>כבר</w:t>
      </w:r>
      <w:r w:rsidRPr="00B72859">
        <w:rPr>
          <w:rFonts w:ascii="David" w:hAnsi="David" w:cs="David"/>
          <w:rtl/>
        </w:rPr>
        <w:t xml:space="preserve"> </w:t>
      </w:r>
      <w:r w:rsidRPr="00B72859">
        <w:rPr>
          <w:rFonts w:ascii="David" w:hAnsi="David" w:cs="David" w:hint="eastAsia"/>
          <w:rtl/>
        </w:rPr>
        <w:t>אין</w:t>
      </w:r>
      <w:r w:rsidRPr="00B72859">
        <w:rPr>
          <w:rFonts w:ascii="David" w:hAnsi="David" w:cs="David"/>
          <w:rtl/>
        </w:rPr>
        <w:t xml:space="preserve"> </w:t>
      </w:r>
      <w:r w:rsidRPr="00B72859">
        <w:rPr>
          <w:rFonts w:ascii="David" w:hAnsi="David" w:cs="David" w:hint="eastAsia"/>
          <w:rtl/>
        </w:rPr>
        <w:t>מדובר</w:t>
      </w:r>
      <w:r w:rsidRPr="00B72859">
        <w:rPr>
          <w:rFonts w:ascii="David" w:hAnsi="David" w:cs="David"/>
          <w:rtl/>
        </w:rPr>
        <w:t xml:space="preserve"> </w:t>
      </w:r>
      <w:r w:rsidRPr="00B72859">
        <w:rPr>
          <w:rFonts w:ascii="David" w:hAnsi="David" w:cs="David" w:hint="eastAsia"/>
          <w:rtl/>
        </w:rPr>
        <w:t>ב</w:t>
      </w:r>
      <w:r w:rsidRPr="00B72859">
        <w:rPr>
          <w:rFonts w:ascii="David" w:hAnsi="David" w:cs="David"/>
          <w:rtl/>
        </w:rPr>
        <w:t xml:space="preserve">"איים"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זכויות</w:t>
      </w:r>
      <w:r w:rsidRPr="00B72859">
        <w:rPr>
          <w:rFonts w:ascii="David" w:hAnsi="David" w:cs="David"/>
          <w:rtl/>
        </w:rPr>
        <w:t xml:space="preserve">, </w:t>
      </w:r>
      <w:r w:rsidRPr="00B72859">
        <w:rPr>
          <w:rFonts w:ascii="David" w:hAnsi="David" w:cs="David" w:hint="eastAsia"/>
          <w:rtl/>
        </w:rPr>
        <w:t>אלא</w:t>
      </w:r>
      <w:r w:rsidRPr="00B72859">
        <w:rPr>
          <w:rFonts w:ascii="David" w:hAnsi="David" w:cs="David"/>
          <w:rtl/>
        </w:rPr>
        <w:t xml:space="preserve"> </w:t>
      </w:r>
      <w:r w:rsidRPr="00B72859">
        <w:rPr>
          <w:rFonts w:ascii="David" w:hAnsi="David" w:cs="David" w:hint="eastAsia"/>
          <w:rtl/>
        </w:rPr>
        <w:t>בתפיסה</w:t>
      </w:r>
      <w:r w:rsidRPr="00B72859">
        <w:rPr>
          <w:rFonts w:ascii="David" w:hAnsi="David" w:cs="David"/>
          <w:rtl/>
        </w:rPr>
        <w:t xml:space="preserve"> </w:t>
      </w:r>
      <w:r w:rsidRPr="00B72859">
        <w:rPr>
          <w:rFonts w:ascii="David" w:hAnsi="David" w:cs="David" w:hint="eastAsia"/>
          <w:rtl/>
        </w:rPr>
        <w:t>חוקתית</w:t>
      </w:r>
      <w:r w:rsidRPr="00B72859">
        <w:rPr>
          <w:rFonts w:ascii="David" w:hAnsi="David" w:cs="David"/>
          <w:rtl/>
        </w:rPr>
        <w:t xml:space="preserve"> </w:t>
      </w:r>
      <w:r w:rsidRPr="00B72859">
        <w:rPr>
          <w:rFonts w:ascii="David" w:hAnsi="David" w:cs="David" w:hint="eastAsia"/>
          <w:rtl/>
        </w:rPr>
        <w:t>כוללת</w:t>
      </w:r>
      <w:r w:rsidRPr="00B72859">
        <w:rPr>
          <w:rFonts w:ascii="David" w:hAnsi="David" w:cs="David"/>
          <w:rtl/>
        </w:rPr>
        <w:t xml:space="preserve">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הזכות</w:t>
      </w:r>
      <w:r w:rsidRPr="00B72859">
        <w:rPr>
          <w:rFonts w:ascii="David" w:hAnsi="David" w:cs="David"/>
          <w:rtl/>
        </w:rPr>
        <w:t xml:space="preserve"> </w:t>
      </w:r>
      <w:r w:rsidRPr="00B72859">
        <w:rPr>
          <w:rFonts w:ascii="David" w:hAnsi="David" w:cs="David" w:hint="eastAsia"/>
          <w:rtl/>
        </w:rPr>
        <w:t>שלא</w:t>
      </w:r>
      <w:r w:rsidRPr="00B72859">
        <w:rPr>
          <w:rFonts w:ascii="David" w:hAnsi="David" w:cs="David"/>
          <w:rtl/>
        </w:rPr>
        <w:t xml:space="preserve"> </w:t>
      </w:r>
      <w:r w:rsidRPr="00B72859">
        <w:rPr>
          <w:rFonts w:ascii="David" w:hAnsi="David" w:cs="David" w:hint="eastAsia"/>
          <w:rtl/>
        </w:rPr>
        <w:t>להיות</w:t>
      </w:r>
      <w:r w:rsidRPr="00B72859">
        <w:rPr>
          <w:rFonts w:ascii="David" w:hAnsi="David" w:cs="David"/>
          <w:rtl/>
        </w:rPr>
        <w:t xml:space="preserve"> </w:t>
      </w:r>
      <w:r w:rsidRPr="00B72859">
        <w:rPr>
          <w:rFonts w:ascii="David" w:hAnsi="David" w:cs="David" w:hint="eastAsia"/>
          <w:rtl/>
        </w:rPr>
        <w:t>מופלה</w:t>
      </w:r>
      <w:r w:rsidRPr="00B72859">
        <w:rPr>
          <w:rFonts w:ascii="David" w:hAnsi="David" w:cs="David"/>
          <w:rtl/>
        </w:rPr>
        <w:t xml:space="preserve"> </w:t>
      </w:r>
      <w:r w:rsidRPr="00B72859">
        <w:rPr>
          <w:rFonts w:ascii="David" w:hAnsi="David" w:cs="David" w:hint="eastAsia"/>
          <w:rtl/>
        </w:rPr>
        <w:t>מחמת</w:t>
      </w:r>
      <w:r w:rsidRPr="00B72859">
        <w:rPr>
          <w:rFonts w:ascii="David" w:hAnsi="David" w:cs="David"/>
          <w:rtl/>
        </w:rPr>
        <w:t xml:space="preserve"> </w:t>
      </w:r>
      <w:r w:rsidRPr="00B72859">
        <w:rPr>
          <w:rFonts w:ascii="David" w:hAnsi="David" w:cs="David" w:hint="eastAsia"/>
          <w:rtl/>
        </w:rPr>
        <w:t>נטייה</w:t>
      </w:r>
      <w:r w:rsidRPr="00B72859">
        <w:rPr>
          <w:rFonts w:ascii="David" w:hAnsi="David" w:cs="David"/>
          <w:rtl/>
        </w:rPr>
        <w:t xml:space="preserve"> </w:t>
      </w:r>
      <w:r w:rsidRPr="00B72859">
        <w:rPr>
          <w:rFonts w:ascii="David" w:hAnsi="David" w:cs="David" w:hint="eastAsia"/>
          <w:rtl/>
        </w:rPr>
        <w:t>מינית</w:t>
      </w:r>
      <w:r w:rsidRPr="00B72859">
        <w:rPr>
          <w:rFonts w:ascii="David" w:hAnsi="David" w:cs="David"/>
        </w:rPr>
        <w:t>.</w:t>
      </w:r>
      <w:r w:rsidRPr="00B72859">
        <w:rPr>
          <w:rFonts w:ascii="David" w:hAnsi="David" w:cs="David"/>
          <w:rtl/>
        </w:rPr>
        <w:t xml:space="preserve"> החשוב לענייננו הוא כי מהפסיקה ומהחקיקה דלעיל עולה כי יש הכרה בכך שחברי הקהילה הגאה מהווים קבוצה "חשודה" בעלת זהות מובחנת הטעונה הגנה בפני הפליה, כי הפליה מטעמים של נטייה מינית נמצאת "בגרעין הקשה" של איסורי ההפליה </w:t>
      </w:r>
      <w:r w:rsidRPr="00B72859">
        <w:rPr>
          <w:rFonts w:ascii="David" w:hAnsi="David" w:cs="David" w:hint="eastAsia"/>
          <w:rtl/>
        </w:rPr>
        <w:t>וככזו</w:t>
      </w:r>
      <w:r w:rsidRPr="00B72859">
        <w:rPr>
          <w:rFonts w:ascii="David" w:hAnsi="David" w:cs="David"/>
          <w:rtl/>
        </w:rPr>
        <w:t xml:space="preserve"> יש לבחון אותה בקפידה" </w:t>
      </w:r>
    </w:p>
    <w:p w14:paraId="23A4D9FF" w14:textId="273C7BAD" w:rsidR="00E36C7C" w:rsidRPr="00E36C7C" w:rsidRDefault="00E36C7C" w:rsidP="00B72859">
      <w:pPr>
        <w:spacing w:before="240" w:line="360" w:lineRule="auto"/>
        <w:ind w:left="1440" w:right="851"/>
        <w:jc w:val="both"/>
        <w:rPr>
          <w:rFonts w:ascii="David" w:hAnsi="David" w:cs="David"/>
        </w:rPr>
      </w:pPr>
      <w:r w:rsidRPr="00B72859">
        <w:rPr>
          <w:rFonts w:ascii="David" w:hAnsi="David" w:cs="David"/>
          <w:rtl/>
        </w:rPr>
        <w:t xml:space="preserve">(פסקה 58 לפסק הדין; וראו עוד ע"פ 5833/12‏ </w:t>
      </w:r>
      <w:r w:rsidRPr="00B72859">
        <w:rPr>
          <w:rFonts w:ascii="David" w:hAnsi="David" w:cs="David" w:hint="eastAsia"/>
          <w:b/>
          <w:bCs/>
          <w:rtl/>
        </w:rPr>
        <w:t>פלונית</w:t>
      </w:r>
      <w:r w:rsidRPr="00B72859">
        <w:rPr>
          <w:rFonts w:ascii="David" w:hAnsi="David" w:cs="David"/>
          <w:b/>
          <w:bCs/>
          <w:rtl/>
        </w:rPr>
        <w:t xml:space="preserve"> </w:t>
      </w:r>
      <w:r w:rsidRPr="00B72859">
        <w:rPr>
          <w:rFonts w:ascii="David" w:hAnsi="David" w:cs="David" w:hint="eastAsia"/>
          <w:b/>
          <w:bCs/>
          <w:rtl/>
        </w:rPr>
        <w:t>נ</w:t>
      </w:r>
      <w:r w:rsidRPr="00B72859">
        <w:rPr>
          <w:rFonts w:ascii="David" w:hAnsi="David" w:cs="David"/>
          <w:b/>
          <w:bCs/>
          <w:rtl/>
        </w:rPr>
        <w:t xml:space="preserve">' </w:t>
      </w:r>
      <w:r w:rsidRPr="00B72859">
        <w:rPr>
          <w:rFonts w:ascii="David" w:hAnsi="David" w:cs="David" w:hint="eastAsia"/>
          <w:b/>
          <w:bCs/>
          <w:rtl/>
        </w:rPr>
        <w:t>מדינת</w:t>
      </w:r>
      <w:r w:rsidRPr="00B72859">
        <w:rPr>
          <w:rFonts w:ascii="David" w:hAnsi="David" w:cs="David"/>
          <w:b/>
          <w:bCs/>
          <w:rtl/>
        </w:rPr>
        <w:t xml:space="preserve"> </w:t>
      </w:r>
      <w:r w:rsidRPr="00B72859">
        <w:rPr>
          <w:rFonts w:ascii="David" w:hAnsi="David" w:cs="David" w:hint="eastAsia"/>
          <w:b/>
          <w:bCs/>
          <w:rtl/>
        </w:rPr>
        <w:t>ישראל</w:t>
      </w:r>
      <w:r w:rsidRPr="00B72859">
        <w:rPr>
          <w:rFonts w:ascii="David" w:hAnsi="David" w:cs="David"/>
          <w:rtl/>
        </w:rPr>
        <w:t xml:space="preserve"> (12.9.2013) פסקה 5 לפסק דינו של השופט ג'ובראן, פרשת </w:t>
      </w:r>
      <w:r w:rsidRPr="00B72859">
        <w:rPr>
          <w:rFonts w:ascii="David" w:hAnsi="David" w:cs="David" w:hint="eastAsia"/>
          <w:b/>
          <w:bCs/>
          <w:rtl/>
        </w:rPr>
        <w:t>ממט</w:t>
      </w:r>
      <w:r w:rsidRPr="00B72859">
        <w:rPr>
          <w:rFonts w:ascii="David" w:hAnsi="David" w:cs="David"/>
          <w:b/>
          <w:bCs/>
          <w:rtl/>
        </w:rPr>
        <w:t>-מגד</w:t>
      </w:r>
      <w:r w:rsidRPr="00B72859">
        <w:rPr>
          <w:rFonts w:ascii="David" w:hAnsi="David" w:cs="David"/>
          <w:rtl/>
        </w:rPr>
        <w:t xml:space="preserve">, </w:t>
      </w:r>
      <w:r w:rsidRPr="00B72859">
        <w:rPr>
          <w:rFonts w:ascii="David" w:hAnsi="David" w:cs="David" w:hint="eastAsia"/>
          <w:rtl/>
        </w:rPr>
        <w:t>פסקאות</w:t>
      </w:r>
      <w:r w:rsidRPr="00B72859">
        <w:rPr>
          <w:rFonts w:ascii="David" w:hAnsi="David" w:cs="David"/>
          <w:rtl/>
        </w:rPr>
        <w:t xml:space="preserve"> 10-11 </w:t>
      </w:r>
      <w:r w:rsidRPr="00B72859">
        <w:rPr>
          <w:rFonts w:ascii="David" w:hAnsi="David" w:cs="David" w:hint="eastAsia"/>
          <w:rtl/>
        </w:rPr>
        <w:t>לפסק</w:t>
      </w:r>
      <w:r w:rsidRPr="00B72859">
        <w:rPr>
          <w:rFonts w:ascii="David" w:hAnsi="David" w:cs="David"/>
          <w:rtl/>
        </w:rPr>
        <w:t xml:space="preserve"> </w:t>
      </w:r>
      <w:r w:rsidRPr="00B72859">
        <w:rPr>
          <w:rFonts w:ascii="David" w:hAnsi="David" w:cs="David" w:hint="eastAsia"/>
          <w:rtl/>
        </w:rPr>
        <w:t>דינו</w:t>
      </w:r>
      <w:r w:rsidRPr="00B72859">
        <w:rPr>
          <w:rFonts w:ascii="David" w:hAnsi="David" w:cs="David"/>
          <w:rtl/>
        </w:rPr>
        <w:t xml:space="preserve">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השופט</w:t>
      </w:r>
      <w:r w:rsidRPr="00B72859">
        <w:rPr>
          <w:rFonts w:ascii="David" w:hAnsi="David" w:cs="David"/>
          <w:rtl/>
        </w:rPr>
        <w:t xml:space="preserve"> </w:t>
      </w:r>
      <w:r w:rsidRPr="00B72859">
        <w:rPr>
          <w:rFonts w:ascii="David" w:hAnsi="David" w:cs="David" w:hint="eastAsia"/>
          <w:rtl/>
        </w:rPr>
        <w:t>ג</w:t>
      </w:r>
      <w:r w:rsidRPr="00B72859">
        <w:rPr>
          <w:rFonts w:ascii="David" w:hAnsi="David" w:cs="David"/>
          <w:rtl/>
        </w:rPr>
        <w:t xml:space="preserve">'ובראן, </w:t>
      </w:r>
      <w:r w:rsidRPr="00B72859">
        <w:rPr>
          <w:rFonts w:ascii="David" w:hAnsi="David" w:cs="David" w:hint="eastAsia"/>
          <w:rtl/>
        </w:rPr>
        <w:t>ת</w:t>
      </w:r>
      <w:r w:rsidRPr="00B72859">
        <w:rPr>
          <w:rFonts w:ascii="David" w:hAnsi="David" w:cs="David"/>
          <w:rtl/>
        </w:rPr>
        <w:t xml:space="preserve">"א (ת"א) 35563-02-12 </w:t>
      </w:r>
      <w:r w:rsidRPr="00B72859">
        <w:rPr>
          <w:rFonts w:ascii="David" w:hAnsi="David" w:cs="David" w:hint="eastAsia"/>
          <w:b/>
          <w:bCs/>
          <w:rtl/>
        </w:rPr>
        <w:t>ה</w:t>
      </w:r>
      <w:r w:rsidRPr="00B72859">
        <w:rPr>
          <w:rFonts w:ascii="David" w:hAnsi="David" w:cs="David"/>
          <w:b/>
          <w:bCs/>
          <w:rtl/>
        </w:rPr>
        <w:t>אגודה לשמירת זכויות הפרט, ע.ר נ'</w:t>
      </w:r>
      <w:r w:rsidRPr="00B72859">
        <w:rPr>
          <w:rFonts w:ascii="David" w:hAnsi="David" w:cs="David"/>
          <w:b/>
          <w:bCs/>
        </w:rPr>
        <w:t> </w:t>
      </w:r>
      <w:r w:rsidRPr="00B72859">
        <w:rPr>
          <w:rFonts w:ascii="David" w:hAnsi="David" w:cs="David"/>
          <w:b/>
          <w:bCs/>
          <w:rtl/>
        </w:rPr>
        <w:t>מקור ראשון המאוחד (הצופה) בע"מ</w:t>
      </w:r>
      <w:r w:rsidRPr="00B72859">
        <w:rPr>
          <w:rFonts w:ascii="David" w:hAnsi="David" w:cs="David"/>
          <w:rtl/>
        </w:rPr>
        <w:t xml:space="preserve"> (12.1.2014); ע"א 5116-11-12 </w:t>
      </w:r>
      <w:r w:rsidRPr="00B72859">
        <w:rPr>
          <w:rFonts w:ascii="David" w:hAnsi="David" w:cs="David"/>
          <w:b/>
          <w:bCs/>
          <w:rtl/>
        </w:rPr>
        <w:t>בית הארחה וגן אירועים יד השמונה נ' יעקבוביץ'</w:t>
      </w:r>
      <w:r w:rsidRPr="00B72859">
        <w:rPr>
          <w:rFonts w:ascii="David" w:hAnsi="David" w:cs="David"/>
          <w:rtl/>
        </w:rPr>
        <w:t xml:space="preserve"> (17.6.2014))</w:t>
      </w:r>
    </w:p>
    <w:p w14:paraId="356A6F48" w14:textId="4B49789F" w:rsidR="00E36C7C" w:rsidRDefault="00E36C7C" w:rsidP="007757C7">
      <w:pPr>
        <w:numPr>
          <w:ilvl w:val="0"/>
          <w:numId w:val="4"/>
        </w:numPr>
        <w:tabs>
          <w:tab w:val="num" w:pos="540"/>
        </w:tabs>
        <w:spacing w:before="240" w:line="360" w:lineRule="auto"/>
        <w:jc w:val="both"/>
        <w:rPr>
          <w:rFonts w:ascii="David" w:hAnsi="David" w:cs="David"/>
        </w:rPr>
      </w:pPr>
      <w:r>
        <w:rPr>
          <w:rFonts w:ascii="David" w:hAnsi="David" w:cs="David" w:hint="cs"/>
          <w:rtl/>
        </w:rPr>
        <w:lastRenderedPageBreak/>
        <w:t xml:space="preserve">ונדגיש </w:t>
      </w:r>
      <w:r>
        <w:rPr>
          <w:rFonts w:ascii="David" w:hAnsi="David" w:cs="David"/>
          <w:rtl/>
        </w:rPr>
        <w:t>–</w:t>
      </w:r>
      <w:r>
        <w:rPr>
          <w:rFonts w:ascii="David" w:hAnsi="David" w:cs="David" w:hint="cs"/>
          <w:rtl/>
        </w:rPr>
        <w:t xml:space="preserve"> באותו עניין נדונה מדיניות המשיבה כאן, ל</w:t>
      </w:r>
      <w:r w:rsidR="006334F8">
        <w:rPr>
          <w:rFonts w:ascii="David" w:hAnsi="David" w:cs="David" w:hint="cs"/>
          <w:rtl/>
        </w:rPr>
        <w:t>ה</w:t>
      </w:r>
      <w:r>
        <w:rPr>
          <w:rFonts w:ascii="David" w:hAnsi="David" w:cs="David" w:hint="cs"/>
          <w:rtl/>
        </w:rPr>
        <w:t>פ</w:t>
      </w:r>
      <w:r w:rsidR="007757C7">
        <w:rPr>
          <w:rFonts w:ascii="David" w:hAnsi="David" w:cs="David" w:hint="cs"/>
          <w:rtl/>
        </w:rPr>
        <w:t>ל</w:t>
      </w:r>
      <w:r>
        <w:rPr>
          <w:rFonts w:ascii="David" w:hAnsi="David" w:cs="David" w:hint="cs"/>
          <w:rtl/>
        </w:rPr>
        <w:t>ות את קהילת הלהט"ב בהקצאת משאבים</w:t>
      </w:r>
      <w:r w:rsidR="006334F8">
        <w:rPr>
          <w:rFonts w:ascii="David" w:hAnsi="David" w:cs="David" w:hint="cs"/>
          <w:rtl/>
        </w:rPr>
        <w:t xml:space="preserve"> עירוניים</w:t>
      </w:r>
      <w:r>
        <w:rPr>
          <w:rFonts w:ascii="David" w:hAnsi="David" w:cs="David" w:hint="cs"/>
          <w:rtl/>
        </w:rPr>
        <w:t xml:space="preserve">. בית המשפט העליון ביטל את המדיניות הפסולה והמפלה. יש להצר על כך שחלוף השנים </w:t>
      </w:r>
      <w:r w:rsidR="006334F8">
        <w:rPr>
          <w:rFonts w:ascii="David" w:hAnsi="David" w:cs="David" w:hint="cs"/>
          <w:rtl/>
        </w:rPr>
        <w:t xml:space="preserve">מאז מתן פסק הדין בענין הבית הפתוח </w:t>
      </w:r>
      <w:r w:rsidR="00E00BC8">
        <w:rPr>
          <w:rFonts w:ascii="David" w:hAnsi="David" w:cs="David" w:hint="cs"/>
          <w:rtl/>
        </w:rPr>
        <w:t xml:space="preserve">לפני עשור </w:t>
      </w:r>
      <w:r>
        <w:rPr>
          <w:rFonts w:ascii="David" w:hAnsi="David" w:cs="David" w:hint="cs"/>
          <w:rtl/>
        </w:rPr>
        <w:t>לא הביאו את המשיבה להטמיע את ערכי השוויון במדיניות הקצאת המשאבים על ידה.</w:t>
      </w:r>
    </w:p>
    <w:p w14:paraId="48453017" w14:textId="3F090376" w:rsidR="00725036" w:rsidRDefault="00E36C7C" w:rsidP="00725036">
      <w:pPr>
        <w:numPr>
          <w:ilvl w:val="0"/>
          <w:numId w:val="4"/>
        </w:numPr>
        <w:tabs>
          <w:tab w:val="num" w:pos="540"/>
        </w:tabs>
        <w:spacing w:before="240" w:line="360" w:lineRule="auto"/>
        <w:jc w:val="both"/>
        <w:rPr>
          <w:rFonts w:ascii="David" w:hAnsi="David" w:cs="David"/>
        </w:rPr>
      </w:pPr>
      <w:r>
        <w:rPr>
          <w:rFonts w:ascii="David" w:hAnsi="David" w:cs="David" w:hint="cs"/>
          <w:rtl/>
        </w:rPr>
        <w:t>בהמשך לאמור</w:t>
      </w:r>
      <w:r w:rsidR="00725036">
        <w:rPr>
          <w:rFonts w:ascii="David" w:hAnsi="David" w:cs="David" w:hint="cs"/>
          <w:rtl/>
        </w:rPr>
        <w:t>, בית המשפט העליון הכיר בצורה מפורשת כי מדיניות המבחינה על רקע נטייה מינית, או שיוצרת אבחנה תוצאתית על רקע נטייה מינית, היא מדיניות "חשודה" נוכח האפליה ההיסטורית והעכש</w:t>
      </w:r>
      <w:r w:rsidR="00E00BC8">
        <w:rPr>
          <w:rFonts w:ascii="David" w:hAnsi="David" w:cs="David" w:hint="cs"/>
          <w:rtl/>
        </w:rPr>
        <w:t>ו</w:t>
      </w:r>
      <w:r w:rsidR="00725036">
        <w:rPr>
          <w:rFonts w:ascii="David" w:hAnsi="David" w:cs="David" w:hint="cs"/>
          <w:rtl/>
        </w:rPr>
        <w:t xml:space="preserve">וית של קהילת הלהט"ב. משכך, נטל כבד ביותר להוכיח כי אין מדובר באפליה מוטל על הרשות המבקשת לעשות שימוש בקריטריון זה על מנת להקצות את משאביה. </w:t>
      </w:r>
    </w:p>
    <w:p w14:paraId="64BC5F66" w14:textId="456992C9" w:rsidR="00E36C7C" w:rsidRPr="00B72859" w:rsidRDefault="00725036" w:rsidP="0011147B">
      <w:pPr>
        <w:numPr>
          <w:ilvl w:val="0"/>
          <w:numId w:val="4"/>
        </w:numPr>
        <w:tabs>
          <w:tab w:val="num" w:pos="540"/>
        </w:tabs>
        <w:spacing w:before="240" w:line="360" w:lineRule="auto"/>
        <w:jc w:val="both"/>
        <w:rPr>
          <w:rFonts w:ascii="David" w:hAnsi="David" w:cs="David"/>
        </w:rPr>
      </w:pPr>
      <w:r w:rsidRPr="00E36C7C">
        <w:rPr>
          <w:rFonts w:ascii="David" w:hAnsi="David" w:cs="David" w:hint="eastAsia"/>
          <w:rtl/>
        </w:rPr>
        <w:t>כך</w:t>
      </w:r>
      <w:r w:rsidRPr="00E36C7C">
        <w:rPr>
          <w:rFonts w:ascii="David" w:hAnsi="David" w:cs="David"/>
          <w:rtl/>
        </w:rPr>
        <w:t>, ב</w:t>
      </w:r>
      <w:r w:rsidR="0011147B">
        <w:rPr>
          <w:rFonts w:ascii="David" w:hAnsi="David" w:cs="David" w:hint="cs"/>
          <w:rtl/>
        </w:rPr>
        <w:t>בג"ץ 781/15</w:t>
      </w:r>
      <w:r w:rsidRPr="00E36C7C">
        <w:rPr>
          <w:rFonts w:ascii="David" w:hAnsi="David" w:cs="David"/>
          <w:rtl/>
        </w:rPr>
        <w:t xml:space="preserve"> </w:t>
      </w:r>
      <w:r w:rsidRPr="00B72859">
        <w:rPr>
          <w:rFonts w:ascii="David" w:hAnsi="David" w:cs="David" w:hint="eastAsia"/>
          <w:b/>
          <w:bCs/>
          <w:rtl/>
        </w:rPr>
        <w:t>פנקס</w:t>
      </w:r>
      <w:r w:rsidRPr="00B72859">
        <w:rPr>
          <w:rFonts w:ascii="David" w:hAnsi="David" w:cs="David"/>
          <w:b/>
          <w:bCs/>
          <w:rtl/>
        </w:rPr>
        <w:t>-ארד</w:t>
      </w:r>
      <w:r w:rsidRPr="00E36C7C">
        <w:rPr>
          <w:rFonts w:ascii="David" w:hAnsi="David" w:cs="David"/>
          <w:rtl/>
        </w:rPr>
        <w:t xml:space="preserve"> </w:t>
      </w:r>
      <w:r w:rsidR="0011147B" w:rsidRPr="0011147B">
        <w:rPr>
          <w:rFonts w:ascii="David" w:hAnsi="David" w:cs="David" w:hint="cs"/>
          <w:b/>
          <w:bCs/>
          <w:rtl/>
        </w:rPr>
        <w:t>נ' הועדה לאישור הסכמים לנשיאת עוברים</w:t>
      </w:r>
      <w:r w:rsidR="0011147B">
        <w:rPr>
          <w:rFonts w:ascii="David" w:hAnsi="David" w:cs="David" w:hint="cs"/>
          <w:rtl/>
        </w:rPr>
        <w:t xml:space="preserve"> </w:t>
      </w:r>
      <w:r w:rsidR="00E36C7C" w:rsidRPr="00E36C7C">
        <w:rPr>
          <w:rFonts w:ascii="David" w:hAnsi="David" w:cs="David" w:hint="eastAsia"/>
          <w:rtl/>
        </w:rPr>
        <w:t>ציינה</w:t>
      </w:r>
      <w:r w:rsidR="00E36C7C" w:rsidRPr="00E36C7C">
        <w:rPr>
          <w:rFonts w:ascii="David" w:hAnsi="David" w:cs="David"/>
          <w:rtl/>
        </w:rPr>
        <w:t xml:space="preserve"> </w:t>
      </w:r>
      <w:r w:rsidR="00E36C7C" w:rsidRPr="00E36C7C">
        <w:rPr>
          <w:rFonts w:ascii="David" w:hAnsi="David" w:cs="David" w:hint="eastAsia"/>
          <w:rtl/>
        </w:rPr>
        <w:t>כב</w:t>
      </w:r>
      <w:r w:rsidR="00E36C7C" w:rsidRPr="00E36C7C">
        <w:rPr>
          <w:rFonts w:ascii="David" w:hAnsi="David" w:cs="David"/>
          <w:rtl/>
        </w:rPr>
        <w:t>'</w:t>
      </w:r>
      <w:r w:rsidR="00E36C7C" w:rsidRPr="00B72859">
        <w:rPr>
          <w:rFonts w:ascii="David" w:hAnsi="David" w:cs="David"/>
          <w:rtl/>
        </w:rPr>
        <w:t xml:space="preserve">  </w:t>
      </w:r>
      <w:r w:rsidR="00E36C7C" w:rsidRPr="00B72859">
        <w:rPr>
          <w:rFonts w:ascii="David" w:hAnsi="David" w:cs="David" w:hint="eastAsia"/>
          <w:rtl/>
        </w:rPr>
        <w:t>הנשיאה</w:t>
      </w:r>
      <w:r w:rsidR="00E36C7C" w:rsidRPr="00B72859">
        <w:rPr>
          <w:rFonts w:ascii="David" w:hAnsi="David" w:cs="David"/>
          <w:rtl/>
        </w:rPr>
        <w:t xml:space="preserve"> </w:t>
      </w:r>
      <w:r w:rsidR="00E36C7C" w:rsidRPr="00B72859">
        <w:rPr>
          <w:rFonts w:ascii="David" w:hAnsi="David" w:cs="David" w:hint="eastAsia"/>
          <w:rtl/>
        </w:rPr>
        <w:t>חיות</w:t>
      </w:r>
      <w:r w:rsidR="00E36C7C" w:rsidRPr="00B72859">
        <w:rPr>
          <w:rFonts w:ascii="David" w:hAnsi="David" w:cs="David"/>
          <w:rtl/>
        </w:rPr>
        <w:t xml:space="preserve"> </w:t>
      </w:r>
      <w:r w:rsidR="00E36C7C" w:rsidRPr="00B72859">
        <w:rPr>
          <w:rFonts w:ascii="David" w:hAnsi="David" w:cs="David" w:hint="eastAsia"/>
          <w:rtl/>
        </w:rPr>
        <w:t>בפסק</w:t>
      </w:r>
      <w:r w:rsidR="00E36C7C" w:rsidRPr="00B72859">
        <w:rPr>
          <w:rFonts w:ascii="David" w:hAnsi="David" w:cs="David"/>
          <w:rtl/>
        </w:rPr>
        <w:t xml:space="preserve"> </w:t>
      </w:r>
      <w:r w:rsidR="00E36C7C" w:rsidRPr="00B72859">
        <w:rPr>
          <w:rFonts w:ascii="David" w:hAnsi="David" w:cs="David" w:hint="eastAsia"/>
          <w:rtl/>
        </w:rPr>
        <w:t>הדין</w:t>
      </w:r>
      <w:r w:rsidR="00E36C7C" w:rsidRPr="00B72859">
        <w:rPr>
          <w:rFonts w:ascii="David" w:hAnsi="David" w:cs="David"/>
          <w:rtl/>
        </w:rPr>
        <w:t xml:space="preserve"> </w:t>
      </w:r>
      <w:r w:rsidR="00E36C7C" w:rsidRPr="00B72859">
        <w:rPr>
          <w:rFonts w:ascii="David" w:hAnsi="David" w:cs="David" w:hint="eastAsia"/>
          <w:rtl/>
        </w:rPr>
        <w:t>העיקרי</w:t>
      </w:r>
      <w:r w:rsidR="00E36C7C" w:rsidRPr="00B72859">
        <w:rPr>
          <w:rFonts w:ascii="David" w:hAnsi="David" w:cs="David"/>
          <w:rtl/>
        </w:rPr>
        <w:t>:</w:t>
      </w:r>
    </w:p>
    <w:p w14:paraId="29A4CA9C" w14:textId="77777777" w:rsidR="00E36C7C" w:rsidRPr="00B72859" w:rsidRDefault="00E36C7C" w:rsidP="00B72859">
      <w:pPr>
        <w:spacing w:before="240" w:line="360" w:lineRule="auto"/>
        <w:ind w:left="1440" w:right="851"/>
        <w:jc w:val="both"/>
        <w:rPr>
          <w:rFonts w:ascii="David" w:hAnsi="David" w:cs="David"/>
          <w:rtl/>
        </w:rPr>
      </w:pPr>
      <w:r w:rsidRPr="00B72859">
        <w:rPr>
          <w:rFonts w:ascii="David" w:hAnsi="David" w:cs="David"/>
          <w:rtl/>
        </w:rPr>
        <w:t>"</w:t>
      </w:r>
      <w:r w:rsidRPr="00B72859">
        <w:rPr>
          <w:rFonts w:ascii="David" w:hAnsi="David" w:cs="David" w:hint="eastAsia"/>
          <w:rtl/>
        </w:rPr>
        <w:t>החרגתה</w:t>
      </w:r>
      <w:r w:rsidRPr="00B72859">
        <w:rPr>
          <w:rFonts w:ascii="David" w:hAnsi="David" w:cs="David"/>
          <w:rtl/>
        </w:rPr>
        <w:t xml:space="preserve"> </w:t>
      </w:r>
      <w:r w:rsidRPr="00B72859">
        <w:rPr>
          <w:rFonts w:ascii="David" w:hAnsi="David" w:cs="David" w:hint="eastAsia"/>
          <w:rtl/>
        </w:rPr>
        <w:t>הגורפת</w:t>
      </w:r>
      <w:r w:rsidRPr="00B72859">
        <w:rPr>
          <w:rFonts w:ascii="David" w:hAnsi="David" w:cs="David"/>
          <w:rtl/>
        </w:rPr>
        <w:t xml:space="preserve">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קבוצת</w:t>
      </w:r>
      <w:r w:rsidRPr="00B72859">
        <w:rPr>
          <w:rFonts w:ascii="David" w:hAnsi="David" w:cs="David"/>
          <w:rtl/>
        </w:rPr>
        <w:t xml:space="preserve"> </w:t>
      </w:r>
      <w:r w:rsidRPr="00B72859">
        <w:rPr>
          <w:rFonts w:ascii="David" w:hAnsi="David" w:cs="David" w:hint="eastAsia"/>
          <w:rtl/>
        </w:rPr>
        <w:t>הגברים</w:t>
      </w:r>
      <w:r w:rsidRPr="00B72859">
        <w:rPr>
          <w:rFonts w:ascii="David" w:hAnsi="David" w:cs="David"/>
          <w:rtl/>
        </w:rPr>
        <w:t xml:space="preserve"> </w:t>
      </w:r>
      <w:r w:rsidRPr="00B72859">
        <w:rPr>
          <w:rFonts w:ascii="David" w:hAnsi="David" w:cs="David" w:hint="eastAsia"/>
          <w:rtl/>
        </w:rPr>
        <w:t>ההומוסקסואלים</w:t>
      </w:r>
      <w:r w:rsidRPr="00B72859">
        <w:rPr>
          <w:rFonts w:ascii="David" w:hAnsi="David" w:cs="David"/>
          <w:rtl/>
        </w:rPr>
        <w:t xml:space="preserve"> </w:t>
      </w:r>
      <w:r w:rsidRPr="00B72859">
        <w:rPr>
          <w:rFonts w:ascii="David" w:hAnsi="David" w:cs="David" w:hint="eastAsia"/>
          <w:rtl/>
        </w:rPr>
        <w:t>מתחולתו</w:t>
      </w:r>
      <w:r w:rsidRPr="00B72859">
        <w:rPr>
          <w:rFonts w:ascii="David" w:hAnsi="David" w:cs="David"/>
          <w:rtl/>
        </w:rPr>
        <w:t xml:space="preserve"> </w:t>
      </w:r>
      <w:r w:rsidRPr="00B72859">
        <w:rPr>
          <w:rFonts w:ascii="David" w:hAnsi="David" w:cs="David" w:hint="eastAsia"/>
          <w:rtl/>
        </w:rPr>
        <w:t>של</w:t>
      </w:r>
      <w:r w:rsidRPr="00B72859">
        <w:rPr>
          <w:rFonts w:ascii="David" w:hAnsi="David" w:cs="David"/>
          <w:rtl/>
        </w:rPr>
        <w:t xml:space="preserve"> </w:t>
      </w:r>
      <w:r w:rsidRPr="00B72859">
        <w:rPr>
          <w:rFonts w:ascii="David" w:hAnsi="David" w:cs="David" w:hint="eastAsia"/>
          <w:rtl/>
        </w:rPr>
        <w:t>הסדר</w:t>
      </w:r>
      <w:r w:rsidRPr="00B72859">
        <w:rPr>
          <w:rFonts w:ascii="David" w:hAnsi="David" w:cs="David"/>
          <w:rtl/>
        </w:rPr>
        <w:t xml:space="preserve"> </w:t>
      </w:r>
      <w:r w:rsidRPr="00B72859">
        <w:rPr>
          <w:rFonts w:ascii="David" w:hAnsi="David" w:cs="David" w:hint="eastAsia"/>
          <w:rtl/>
        </w:rPr>
        <w:t>הפונדקאות</w:t>
      </w:r>
      <w:r w:rsidRPr="00B72859">
        <w:rPr>
          <w:rFonts w:ascii="David" w:hAnsi="David" w:cs="David"/>
          <w:rtl/>
        </w:rPr>
        <w:t xml:space="preserve"> </w:t>
      </w:r>
      <w:r w:rsidRPr="00B72859">
        <w:rPr>
          <w:rFonts w:ascii="David" w:hAnsi="David" w:cs="David" w:hint="eastAsia"/>
          <w:rtl/>
        </w:rPr>
        <w:t>נחזית</w:t>
      </w:r>
      <w:r w:rsidRPr="00B72859">
        <w:rPr>
          <w:rFonts w:ascii="David" w:hAnsi="David" w:cs="David"/>
          <w:rtl/>
        </w:rPr>
        <w:t xml:space="preserve"> </w:t>
      </w:r>
      <w:r w:rsidRPr="00B72859">
        <w:rPr>
          <w:rFonts w:ascii="David" w:hAnsi="David" w:cs="David" w:hint="eastAsia"/>
          <w:rtl/>
        </w:rPr>
        <w:t>כהפליה</w:t>
      </w:r>
      <w:r w:rsidRPr="00B72859">
        <w:rPr>
          <w:rFonts w:ascii="David" w:hAnsi="David" w:cs="David"/>
          <w:rtl/>
        </w:rPr>
        <w:t xml:space="preserve"> "</w:t>
      </w:r>
      <w:r w:rsidRPr="00B72859">
        <w:rPr>
          <w:rFonts w:ascii="David" w:hAnsi="David" w:cs="David" w:hint="eastAsia"/>
          <w:rtl/>
        </w:rPr>
        <w:t>חשודה</w:t>
      </w:r>
      <w:r w:rsidRPr="00B72859">
        <w:rPr>
          <w:rFonts w:ascii="David" w:hAnsi="David" w:cs="David"/>
          <w:rtl/>
        </w:rPr>
        <w:t xml:space="preserve">", </w:t>
      </w:r>
      <w:r w:rsidRPr="00B72859">
        <w:rPr>
          <w:rFonts w:ascii="David" w:hAnsi="David" w:cs="David" w:hint="eastAsia"/>
          <w:rtl/>
        </w:rPr>
        <w:t>המייחסת</w:t>
      </w:r>
      <w:r w:rsidRPr="00B72859">
        <w:rPr>
          <w:rFonts w:ascii="David" w:hAnsi="David" w:cs="David"/>
          <w:rtl/>
        </w:rPr>
        <w:t xml:space="preserve"> </w:t>
      </w:r>
      <w:r w:rsidRPr="00B72859">
        <w:rPr>
          <w:rFonts w:ascii="David" w:hAnsi="David" w:cs="David" w:hint="eastAsia"/>
          <w:rtl/>
        </w:rPr>
        <w:t>מעמד</w:t>
      </w:r>
      <w:r w:rsidRPr="00B72859">
        <w:rPr>
          <w:rFonts w:ascii="David" w:hAnsi="David" w:cs="David"/>
          <w:rtl/>
        </w:rPr>
        <w:t xml:space="preserve"> </w:t>
      </w:r>
      <w:r w:rsidRPr="00B72859">
        <w:rPr>
          <w:rFonts w:ascii="David" w:hAnsi="David" w:cs="David" w:hint="eastAsia"/>
          <w:rtl/>
        </w:rPr>
        <w:t>נחות</w:t>
      </w:r>
      <w:r w:rsidRPr="00B72859">
        <w:rPr>
          <w:rFonts w:ascii="David" w:hAnsi="David" w:cs="David"/>
          <w:rtl/>
        </w:rPr>
        <w:t xml:space="preserve"> </w:t>
      </w:r>
      <w:r w:rsidRPr="00B72859">
        <w:rPr>
          <w:rFonts w:ascii="David" w:hAnsi="David" w:cs="David" w:hint="eastAsia"/>
          <w:rtl/>
        </w:rPr>
        <w:t>לקבוצה</w:t>
      </w:r>
      <w:r w:rsidRPr="00B72859">
        <w:rPr>
          <w:rFonts w:ascii="David" w:hAnsi="David" w:cs="David"/>
          <w:rtl/>
        </w:rPr>
        <w:t xml:space="preserve"> </w:t>
      </w:r>
      <w:r w:rsidRPr="00B72859">
        <w:rPr>
          <w:rFonts w:ascii="David" w:hAnsi="David" w:cs="David" w:hint="eastAsia"/>
          <w:rtl/>
        </w:rPr>
        <w:t>זו</w:t>
      </w:r>
      <w:r w:rsidRPr="00B72859">
        <w:rPr>
          <w:rFonts w:ascii="David" w:hAnsi="David" w:cs="David"/>
          <w:rtl/>
        </w:rPr>
        <w:t xml:space="preserve">, </w:t>
      </w:r>
      <w:r w:rsidRPr="00B72859">
        <w:rPr>
          <w:rFonts w:ascii="David" w:hAnsi="David" w:cs="David" w:hint="eastAsia"/>
          <w:rtl/>
        </w:rPr>
        <w:t>ובכך</w:t>
      </w:r>
      <w:r w:rsidRPr="00B72859">
        <w:rPr>
          <w:rFonts w:ascii="David" w:hAnsi="David" w:cs="David"/>
          <w:rtl/>
        </w:rPr>
        <w:t xml:space="preserve"> </w:t>
      </w:r>
      <w:r w:rsidRPr="00B72859">
        <w:rPr>
          <w:rFonts w:ascii="David" w:hAnsi="David" w:cs="David" w:hint="eastAsia"/>
          <w:rtl/>
        </w:rPr>
        <w:t>גלומה</w:t>
      </w:r>
      <w:r w:rsidRPr="00B72859">
        <w:rPr>
          <w:rFonts w:ascii="David" w:hAnsi="David" w:cs="David"/>
          <w:rtl/>
        </w:rPr>
        <w:t xml:space="preserve"> </w:t>
      </w:r>
      <w:r w:rsidRPr="00B72859">
        <w:rPr>
          <w:rFonts w:ascii="David" w:hAnsi="David" w:cs="David" w:hint="eastAsia"/>
          <w:b/>
          <w:bCs/>
          <w:rtl/>
        </w:rPr>
        <w:t>פגיעה</w:t>
      </w:r>
      <w:r w:rsidRPr="00B72859">
        <w:rPr>
          <w:rFonts w:ascii="David" w:hAnsi="David" w:cs="David"/>
          <w:b/>
          <w:bCs/>
          <w:rtl/>
        </w:rPr>
        <w:t xml:space="preserve"> </w:t>
      </w:r>
      <w:r w:rsidRPr="00B72859">
        <w:rPr>
          <w:rFonts w:ascii="David" w:hAnsi="David" w:cs="David" w:hint="eastAsia"/>
          <w:b/>
          <w:bCs/>
          <w:rtl/>
        </w:rPr>
        <w:t>נוספת</w:t>
      </w:r>
      <w:r w:rsidRPr="00B72859">
        <w:rPr>
          <w:rFonts w:ascii="David" w:hAnsi="David" w:cs="David"/>
          <w:b/>
          <w:bCs/>
          <w:rtl/>
        </w:rPr>
        <w:t xml:space="preserve">, </w:t>
      </w:r>
      <w:r w:rsidRPr="00B72859">
        <w:rPr>
          <w:rFonts w:ascii="David" w:hAnsi="David" w:cs="David" w:hint="eastAsia"/>
          <w:b/>
          <w:bCs/>
          <w:u w:val="single"/>
          <w:rtl/>
        </w:rPr>
        <w:t>קשה</w:t>
      </w:r>
      <w:r w:rsidRPr="00B72859">
        <w:rPr>
          <w:rFonts w:ascii="David" w:hAnsi="David" w:cs="David"/>
          <w:b/>
          <w:bCs/>
          <w:u w:val="single"/>
          <w:rtl/>
        </w:rPr>
        <w:t xml:space="preserve"> </w:t>
      </w:r>
      <w:r w:rsidRPr="00B72859">
        <w:rPr>
          <w:rFonts w:ascii="David" w:hAnsi="David" w:cs="David" w:hint="eastAsia"/>
          <w:b/>
          <w:bCs/>
          <w:u w:val="single"/>
          <w:rtl/>
        </w:rPr>
        <w:t>ומשפילה</w:t>
      </w:r>
      <w:r w:rsidRPr="00B72859">
        <w:rPr>
          <w:rFonts w:ascii="David" w:hAnsi="David" w:cs="David"/>
          <w:b/>
          <w:bCs/>
          <w:rtl/>
        </w:rPr>
        <w:t xml:space="preserve"> </w:t>
      </w:r>
      <w:r w:rsidRPr="00B72859">
        <w:rPr>
          <w:rFonts w:ascii="David" w:hAnsi="David" w:cs="David" w:hint="eastAsia"/>
          <w:b/>
          <w:bCs/>
          <w:rtl/>
        </w:rPr>
        <w:t>בכבוד</w:t>
      </w:r>
      <w:r w:rsidRPr="00B72859">
        <w:rPr>
          <w:rFonts w:ascii="David" w:hAnsi="David" w:cs="David"/>
          <w:b/>
          <w:bCs/>
          <w:rtl/>
        </w:rPr>
        <w:t xml:space="preserve"> </w:t>
      </w:r>
      <w:r w:rsidRPr="00B72859">
        <w:rPr>
          <w:rFonts w:ascii="David" w:hAnsi="David" w:cs="David" w:hint="eastAsia"/>
          <w:b/>
          <w:bCs/>
          <w:rtl/>
        </w:rPr>
        <w:t>האדם</w:t>
      </w:r>
      <w:r w:rsidRPr="00B72859">
        <w:rPr>
          <w:rFonts w:ascii="David" w:hAnsi="David" w:cs="David"/>
          <w:b/>
          <w:bCs/>
          <w:rtl/>
        </w:rPr>
        <w:t xml:space="preserve"> </w:t>
      </w:r>
      <w:r w:rsidRPr="00B72859">
        <w:rPr>
          <w:rFonts w:ascii="David" w:hAnsi="David" w:cs="David" w:hint="eastAsia"/>
          <w:b/>
          <w:bCs/>
          <w:rtl/>
        </w:rPr>
        <w:t>על</w:t>
      </w:r>
      <w:r w:rsidRPr="00B72859">
        <w:rPr>
          <w:rFonts w:ascii="David" w:hAnsi="David" w:cs="David"/>
          <w:b/>
          <w:bCs/>
          <w:rtl/>
        </w:rPr>
        <w:t xml:space="preserve"> </w:t>
      </w:r>
      <w:r w:rsidRPr="00B72859">
        <w:rPr>
          <w:rFonts w:ascii="David" w:hAnsi="David" w:cs="David" w:hint="eastAsia"/>
          <w:b/>
          <w:bCs/>
          <w:rtl/>
        </w:rPr>
        <w:t>בסיס</w:t>
      </w:r>
      <w:r w:rsidRPr="00B72859">
        <w:rPr>
          <w:rFonts w:ascii="David" w:hAnsi="David" w:cs="David"/>
          <w:b/>
          <w:bCs/>
          <w:rtl/>
        </w:rPr>
        <w:t xml:space="preserve"> </w:t>
      </w:r>
      <w:r w:rsidRPr="00B72859">
        <w:rPr>
          <w:rFonts w:ascii="David" w:hAnsi="David" w:cs="David" w:hint="eastAsia"/>
          <w:b/>
          <w:bCs/>
          <w:rtl/>
        </w:rPr>
        <w:t>מגדר</w:t>
      </w:r>
      <w:r w:rsidRPr="00B72859">
        <w:rPr>
          <w:rFonts w:ascii="David" w:hAnsi="David" w:cs="David"/>
          <w:b/>
          <w:bCs/>
          <w:rtl/>
        </w:rPr>
        <w:t xml:space="preserve"> </w:t>
      </w:r>
      <w:r w:rsidRPr="00B72859">
        <w:rPr>
          <w:rFonts w:ascii="David" w:hAnsi="David" w:cs="David" w:hint="eastAsia"/>
          <w:b/>
          <w:bCs/>
          <w:rtl/>
        </w:rPr>
        <w:t>או</w:t>
      </w:r>
      <w:r w:rsidRPr="00B72859">
        <w:rPr>
          <w:rFonts w:ascii="David" w:hAnsi="David" w:cs="David"/>
          <w:b/>
          <w:bCs/>
          <w:rtl/>
        </w:rPr>
        <w:t xml:space="preserve"> </w:t>
      </w:r>
      <w:r w:rsidRPr="00B72859">
        <w:rPr>
          <w:rFonts w:ascii="David" w:hAnsi="David" w:cs="David" w:hint="eastAsia"/>
          <w:b/>
          <w:bCs/>
          <w:rtl/>
        </w:rPr>
        <w:t>נטייה</w:t>
      </w:r>
      <w:r w:rsidRPr="00B72859">
        <w:rPr>
          <w:rFonts w:ascii="David" w:hAnsi="David" w:cs="David"/>
          <w:b/>
          <w:bCs/>
          <w:rtl/>
        </w:rPr>
        <w:t xml:space="preserve"> </w:t>
      </w:r>
      <w:r w:rsidRPr="00B72859">
        <w:rPr>
          <w:rFonts w:ascii="David" w:hAnsi="David" w:cs="David" w:hint="eastAsia"/>
          <w:b/>
          <w:bCs/>
          <w:rtl/>
        </w:rPr>
        <w:t>מינית</w:t>
      </w:r>
      <w:r w:rsidRPr="00B72859">
        <w:rPr>
          <w:rFonts w:ascii="David" w:hAnsi="David" w:cs="David"/>
          <w:rtl/>
        </w:rPr>
        <w:t>" (פסקה 19)</w:t>
      </w:r>
    </w:p>
    <w:p w14:paraId="31FD947F" w14:textId="77777777" w:rsidR="00E36C7C" w:rsidRPr="00B72859" w:rsidRDefault="00E36C7C" w:rsidP="00B72859">
      <w:pPr>
        <w:numPr>
          <w:ilvl w:val="0"/>
          <w:numId w:val="4"/>
        </w:numPr>
        <w:tabs>
          <w:tab w:val="num" w:pos="540"/>
        </w:tabs>
        <w:spacing w:before="240" w:line="360" w:lineRule="auto"/>
        <w:jc w:val="both"/>
        <w:rPr>
          <w:rFonts w:ascii="David" w:hAnsi="David" w:cs="David"/>
        </w:rPr>
      </w:pPr>
      <w:r w:rsidRPr="00B72859">
        <w:rPr>
          <w:rFonts w:ascii="David" w:hAnsi="David" w:cs="David" w:hint="eastAsia"/>
          <w:rtl/>
        </w:rPr>
        <w:t>בדומה</w:t>
      </w:r>
      <w:r w:rsidRPr="00B72859">
        <w:rPr>
          <w:rFonts w:ascii="David" w:hAnsi="David" w:cs="David"/>
          <w:rtl/>
        </w:rPr>
        <w:t xml:space="preserve">, ציין כב' השופט </w:t>
      </w:r>
      <w:r w:rsidRPr="00B72859">
        <w:rPr>
          <w:rFonts w:ascii="David" w:hAnsi="David" w:cs="David" w:hint="eastAsia"/>
          <w:rtl/>
        </w:rPr>
        <w:t>פוגלמן</w:t>
      </w:r>
      <w:r w:rsidRPr="00B72859">
        <w:rPr>
          <w:rFonts w:ascii="David" w:hAnsi="David" w:cs="David"/>
          <w:rtl/>
        </w:rPr>
        <w:t xml:space="preserve"> כי:</w:t>
      </w:r>
    </w:p>
    <w:p w14:paraId="68368D19" w14:textId="77777777" w:rsidR="00E36C7C" w:rsidRPr="00B72859" w:rsidRDefault="00E36C7C" w:rsidP="00B72859">
      <w:pPr>
        <w:spacing w:before="240" w:line="360" w:lineRule="auto"/>
        <w:ind w:left="1440" w:right="851"/>
        <w:jc w:val="both"/>
        <w:rPr>
          <w:rFonts w:ascii="David" w:hAnsi="David" w:cs="David"/>
          <w:rtl/>
        </w:rPr>
      </w:pPr>
      <w:r w:rsidRPr="00B72859">
        <w:rPr>
          <w:rFonts w:ascii="David" w:hAnsi="David" w:cs="David"/>
          <w:rtl/>
        </w:rPr>
        <w:t xml:space="preserve">"הקבוצה השנייה שעליה נמנים חלק מהגברים בענייננו היא קבוצת הגברים ההומוסקסואליים, בין אם חיים בגפם, בין אם בזוג. </w:t>
      </w:r>
      <w:r w:rsidRPr="00B72859">
        <w:rPr>
          <w:rFonts w:ascii="David" w:hAnsi="David" w:cs="David"/>
          <w:b/>
          <w:bCs/>
          <w:rtl/>
        </w:rPr>
        <w:t>קבוצה זו היא קבוצה "חשודה" מובהקת ומוכרת, הסובלת מהפליה על רקע נטייתה המינית באופן היסטורי, ובהקשרים שונים.</w:t>
      </w:r>
      <w:r w:rsidRPr="00B72859">
        <w:rPr>
          <w:rFonts w:ascii="David" w:hAnsi="David" w:cs="David"/>
          <w:rtl/>
        </w:rPr>
        <w:t xml:space="preserve"> בהינתן שתי קבוצות ההשתייכות המאפיינות את הגברים שאינם זכאים לפנות להליכי פונדקאות, החשש המתעורר הוא כי אי הכללתם בגדרו של ההסדר נובעת מעצם השתייכותם לקבוצות האמורות, ומטעם זה בלבד. נזכיר כי מסקנה זו מתחייבת גם אם לא הייתה זו כוונת המחוקק, והדבר מסתבר במישור התוצאה בלבד (בג"ץ 11163/03 ועדת המעקב העליונה לענייני ערבים בישראל נ' ראש ממשלת ישראל, פ"ד </w:t>
      </w:r>
      <w:r w:rsidRPr="00B72859">
        <w:rPr>
          <w:rFonts w:ascii="David" w:hAnsi="David" w:cs="David" w:hint="eastAsia"/>
          <w:rtl/>
        </w:rPr>
        <w:t>סא</w:t>
      </w:r>
      <w:r w:rsidRPr="00B72859">
        <w:rPr>
          <w:rFonts w:ascii="David" w:hAnsi="David" w:cs="David"/>
          <w:rtl/>
        </w:rPr>
        <w:t xml:space="preserve">(1) 1, 32 (2006)). </w:t>
      </w:r>
    </w:p>
    <w:p w14:paraId="0FCFE46E" w14:textId="77777777" w:rsidR="00E36C7C" w:rsidRPr="00B72859" w:rsidRDefault="00E36C7C" w:rsidP="00B72859">
      <w:pPr>
        <w:spacing w:before="240" w:line="360" w:lineRule="auto"/>
        <w:ind w:left="1440" w:right="851"/>
        <w:jc w:val="both"/>
        <w:rPr>
          <w:rFonts w:ascii="David" w:hAnsi="David" w:cs="David"/>
          <w:rtl/>
        </w:rPr>
      </w:pPr>
      <w:r w:rsidRPr="00B72859">
        <w:rPr>
          <w:rFonts w:ascii="David" w:hAnsi="David" w:cs="David" w:hint="eastAsia"/>
          <w:b/>
          <w:bCs/>
          <w:rtl/>
        </w:rPr>
        <w:t>כידוע</w:t>
      </w:r>
      <w:r w:rsidRPr="00B72859">
        <w:rPr>
          <w:rFonts w:ascii="David" w:hAnsi="David" w:cs="David"/>
          <w:b/>
          <w:bCs/>
          <w:rtl/>
        </w:rPr>
        <w:t>, הפליה "גנרית" מעין זו – על בסיס מגדר ונטייה מינית – היא מקרה מובהק של הפליה ה"פוצעת אנושות בכבוד האדם</w:t>
      </w:r>
      <w:r w:rsidRPr="00B72859">
        <w:rPr>
          <w:rFonts w:ascii="David" w:hAnsi="David" w:cs="David"/>
          <w:rtl/>
        </w:rPr>
        <w:t xml:space="preserve"> [...]</w:t>
      </w:r>
    </w:p>
    <w:p w14:paraId="357B1C77" w14:textId="77777777" w:rsidR="00E36C7C" w:rsidRPr="00B72859" w:rsidRDefault="00E36C7C" w:rsidP="00B72859">
      <w:pPr>
        <w:spacing w:before="240" w:line="360" w:lineRule="auto"/>
        <w:ind w:left="1440" w:right="851"/>
        <w:jc w:val="both"/>
        <w:rPr>
          <w:rFonts w:ascii="David" w:hAnsi="David" w:cs="David"/>
          <w:rtl/>
        </w:rPr>
      </w:pPr>
      <w:r w:rsidRPr="00B72859">
        <w:rPr>
          <w:rFonts w:ascii="David" w:hAnsi="David" w:cs="David" w:hint="eastAsia"/>
          <w:b/>
          <w:bCs/>
          <w:rtl/>
        </w:rPr>
        <w:t>מאפיין</w:t>
      </w:r>
      <w:r w:rsidRPr="00B72859">
        <w:rPr>
          <w:rFonts w:ascii="David" w:hAnsi="David" w:cs="David"/>
          <w:b/>
          <w:bCs/>
          <w:rtl/>
        </w:rPr>
        <w:t xml:space="preserve"> חמור נוסף של הפליה גנרית הוא פגיעתה בכלל הקבוצה שעליה נמנה הפרט הנפגע, עקב הנצחתן והעמקתן של תפיסות סטריאוטיפיות ופוגעניות כלפי הנמנים על קבוצה זו. צירופם של שני מאפיינים אלה – הפגיעה בפרט והפגיעה בקבוצה – היא ההופכת את הפלייתן של קבוצות חשודות </w:t>
      </w:r>
      <w:r w:rsidRPr="00B72859">
        <w:rPr>
          <w:rFonts w:ascii="David" w:hAnsi="David" w:cs="David" w:hint="eastAsia"/>
          <w:b/>
          <w:bCs/>
          <w:u w:val="single"/>
          <w:rtl/>
        </w:rPr>
        <w:t>לפוגענית</w:t>
      </w:r>
      <w:r w:rsidRPr="00B72859">
        <w:rPr>
          <w:rFonts w:ascii="David" w:hAnsi="David" w:cs="David"/>
          <w:b/>
          <w:bCs/>
          <w:u w:val="single"/>
          <w:rtl/>
        </w:rPr>
        <w:t xml:space="preserve"> </w:t>
      </w:r>
      <w:r w:rsidRPr="00B72859">
        <w:rPr>
          <w:rFonts w:ascii="David" w:hAnsi="David" w:cs="David" w:hint="eastAsia"/>
          <w:b/>
          <w:bCs/>
          <w:u w:val="single"/>
          <w:rtl/>
        </w:rPr>
        <w:t>במיוחד</w:t>
      </w:r>
      <w:r w:rsidRPr="00B72859">
        <w:rPr>
          <w:rFonts w:ascii="David" w:hAnsi="David" w:cs="David"/>
          <w:b/>
          <w:bCs/>
          <w:u w:val="single"/>
          <w:rtl/>
        </w:rPr>
        <w:t xml:space="preserve"> </w:t>
      </w:r>
      <w:r w:rsidRPr="00B72859">
        <w:rPr>
          <w:rFonts w:ascii="David" w:hAnsi="David" w:cs="David" w:hint="eastAsia"/>
          <w:b/>
          <w:bCs/>
          <w:u w:val="single"/>
          <w:rtl/>
        </w:rPr>
        <w:t>וראויה</w:t>
      </w:r>
      <w:r w:rsidRPr="00B72859">
        <w:rPr>
          <w:rFonts w:ascii="David" w:hAnsi="David" w:cs="David"/>
          <w:b/>
          <w:bCs/>
          <w:u w:val="single"/>
          <w:rtl/>
        </w:rPr>
        <w:t xml:space="preserve"> </w:t>
      </w:r>
      <w:r w:rsidRPr="00B72859">
        <w:rPr>
          <w:rFonts w:ascii="David" w:hAnsi="David" w:cs="David" w:hint="eastAsia"/>
          <w:b/>
          <w:bCs/>
          <w:u w:val="single"/>
          <w:rtl/>
        </w:rPr>
        <w:t>למיגור</w:t>
      </w:r>
      <w:r w:rsidRPr="00B72859">
        <w:rPr>
          <w:rFonts w:ascii="David" w:hAnsi="David" w:cs="David"/>
          <w:rtl/>
        </w:rPr>
        <w:t>.</w:t>
      </w:r>
    </w:p>
    <w:p w14:paraId="4EFFC62A" w14:textId="77777777" w:rsidR="00E36C7C" w:rsidRPr="00B72859" w:rsidRDefault="00E36C7C" w:rsidP="00B72859">
      <w:pPr>
        <w:spacing w:before="240" w:line="360" w:lineRule="auto"/>
        <w:ind w:left="1440" w:right="851"/>
        <w:jc w:val="both"/>
        <w:rPr>
          <w:rFonts w:ascii="David" w:hAnsi="David" w:cs="David"/>
        </w:rPr>
      </w:pPr>
      <w:r w:rsidRPr="00B72859">
        <w:rPr>
          <w:rFonts w:ascii="David" w:hAnsi="David" w:cs="David" w:hint="eastAsia"/>
          <w:rtl/>
        </w:rPr>
        <w:lastRenderedPageBreak/>
        <w:t>יישומם</w:t>
      </w:r>
      <w:r w:rsidRPr="00B72859">
        <w:rPr>
          <w:rFonts w:ascii="David" w:hAnsi="David" w:cs="David"/>
          <w:rtl/>
        </w:rPr>
        <w:t xml:space="preserve"> של דברים אלה לענייננו ברור. בצד הפגיעה הקשה בכבודו של כל אחד מאותם גברים שהיו רוצים לפנות להליך פונדקאות והדבר נשלל מהם, הסדר הפונדקאות הנוכחי פוגע בכבודם גם בגלל המסר הפוגעני הטמון בו ביחס לקבוצה שעליה הם נמנים. בסופו של יום, בין אם הייתה זו כוונת המחוקק, בין אם לאו, ההסדר שאומץ מגלם בחובו תפיסות עומק חברתיות שלפיה "הורות נשית" עדיפה וראויה יותר על פני "הורות גברית", וכי משפחה המורכבת מאם ומאב או מאם בלבד היא משפחה "עדיפה" "ראויה" ו"רצויה" יותר ממשפחה המורכבת מגבר יחיד או משני גברים. </w:t>
      </w:r>
      <w:r w:rsidRPr="00B72859">
        <w:rPr>
          <w:rFonts w:ascii="David" w:hAnsi="David" w:cs="David" w:hint="eastAsia"/>
          <w:b/>
          <w:bCs/>
          <w:u w:val="single"/>
          <w:rtl/>
        </w:rPr>
        <w:t>זהו</w:t>
      </w:r>
      <w:r w:rsidRPr="00B72859">
        <w:rPr>
          <w:rFonts w:ascii="David" w:hAnsi="David" w:cs="David"/>
          <w:b/>
          <w:bCs/>
          <w:u w:val="single"/>
          <w:rtl/>
        </w:rPr>
        <w:t xml:space="preserve"> </w:t>
      </w:r>
      <w:r w:rsidRPr="00B72859">
        <w:rPr>
          <w:rFonts w:ascii="David" w:hAnsi="David" w:cs="David" w:hint="eastAsia"/>
          <w:b/>
          <w:bCs/>
          <w:u w:val="single"/>
          <w:rtl/>
        </w:rPr>
        <w:t>מסר</w:t>
      </w:r>
      <w:r w:rsidRPr="00B72859">
        <w:rPr>
          <w:rFonts w:ascii="David" w:hAnsi="David" w:cs="David"/>
          <w:b/>
          <w:bCs/>
          <w:u w:val="single"/>
          <w:rtl/>
        </w:rPr>
        <w:t xml:space="preserve"> </w:t>
      </w:r>
      <w:r w:rsidRPr="00B72859">
        <w:rPr>
          <w:rFonts w:ascii="David" w:hAnsi="David" w:cs="David" w:hint="eastAsia"/>
          <w:b/>
          <w:bCs/>
          <w:u w:val="single"/>
          <w:rtl/>
        </w:rPr>
        <w:t>שלטוני</w:t>
      </w:r>
      <w:r w:rsidRPr="00B72859">
        <w:rPr>
          <w:rFonts w:ascii="David" w:hAnsi="David" w:cs="David"/>
          <w:b/>
          <w:bCs/>
          <w:u w:val="single"/>
          <w:rtl/>
        </w:rPr>
        <w:t xml:space="preserve"> </w:t>
      </w:r>
      <w:r w:rsidRPr="00B72859">
        <w:rPr>
          <w:rFonts w:ascii="David" w:hAnsi="David" w:cs="David" w:hint="eastAsia"/>
          <w:b/>
          <w:bCs/>
          <w:u w:val="single"/>
          <w:rtl/>
        </w:rPr>
        <w:t>פוגעני</w:t>
      </w:r>
      <w:r w:rsidRPr="00B72859">
        <w:rPr>
          <w:rFonts w:ascii="David" w:hAnsi="David" w:cs="David"/>
          <w:b/>
          <w:bCs/>
          <w:u w:val="single"/>
          <w:rtl/>
        </w:rPr>
        <w:t xml:space="preserve">, </w:t>
      </w:r>
      <w:r w:rsidRPr="00B72859">
        <w:rPr>
          <w:rFonts w:ascii="David" w:hAnsi="David" w:cs="David" w:hint="eastAsia"/>
          <w:b/>
          <w:bCs/>
          <w:u w:val="single"/>
          <w:rtl/>
        </w:rPr>
        <w:t>החוטא</w:t>
      </w:r>
      <w:r w:rsidRPr="00B72859">
        <w:rPr>
          <w:rFonts w:ascii="David" w:hAnsi="David" w:cs="David"/>
          <w:b/>
          <w:bCs/>
          <w:u w:val="single"/>
          <w:rtl/>
        </w:rPr>
        <w:t xml:space="preserve"> </w:t>
      </w:r>
      <w:r w:rsidRPr="00B72859">
        <w:rPr>
          <w:rFonts w:ascii="David" w:hAnsi="David" w:cs="David" w:hint="eastAsia"/>
          <w:b/>
          <w:bCs/>
          <w:u w:val="single"/>
          <w:rtl/>
        </w:rPr>
        <w:t>לחובתה</w:t>
      </w:r>
      <w:r w:rsidRPr="00B72859">
        <w:rPr>
          <w:rFonts w:ascii="David" w:hAnsi="David" w:cs="David"/>
          <w:b/>
          <w:bCs/>
          <w:u w:val="single"/>
          <w:rtl/>
        </w:rPr>
        <w:t xml:space="preserve"> </w:t>
      </w:r>
      <w:r w:rsidRPr="00B72859">
        <w:rPr>
          <w:rFonts w:ascii="David" w:hAnsi="David" w:cs="David" w:hint="eastAsia"/>
          <w:b/>
          <w:bCs/>
          <w:u w:val="single"/>
          <w:rtl/>
        </w:rPr>
        <w:t>הבסיסית</w:t>
      </w:r>
      <w:r w:rsidRPr="00B72859">
        <w:rPr>
          <w:rFonts w:ascii="David" w:hAnsi="David" w:cs="David"/>
          <w:b/>
          <w:bCs/>
          <w:u w:val="single"/>
          <w:rtl/>
        </w:rPr>
        <w:t xml:space="preserve"> </w:t>
      </w:r>
      <w:r w:rsidRPr="00B72859">
        <w:rPr>
          <w:rFonts w:ascii="David" w:hAnsi="David" w:cs="David" w:hint="eastAsia"/>
          <w:b/>
          <w:bCs/>
          <w:u w:val="single"/>
          <w:rtl/>
        </w:rPr>
        <w:t>של</w:t>
      </w:r>
      <w:r w:rsidRPr="00B72859">
        <w:rPr>
          <w:rFonts w:ascii="David" w:hAnsi="David" w:cs="David"/>
          <w:b/>
          <w:bCs/>
          <w:u w:val="single"/>
          <w:rtl/>
        </w:rPr>
        <w:t xml:space="preserve"> </w:t>
      </w:r>
      <w:r w:rsidRPr="00B72859">
        <w:rPr>
          <w:rFonts w:ascii="David" w:hAnsi="David" w:cs="David" w:hint="eastAsia"/>
          <w:b/>
          <w:bCs/>
          <w:u w:val="single"/>
          <w:rtl/>
        </w:rPr>
        <w:t>המדינה</w:t>
      </w:r>
      <w:r w:rsidRPr="00B72859">
        <w:rPr>
          <w:rFonts w:ascii="David" w:hAnsi="David" w:cs="David"/>
          <w:b/>
          <w:bCs/>
          <w:u w:val="single"/>
          <w:rtl/>
        </w:rPr>
        <w:t xml:space="preserve"> </w:t>
      </w:r>
      <w:r w:rsidRPr="00B72859">
        <w:rPr>
          <w:rFonts w:ascii="David" w:hAnsi="David" w:cs="David" w:hint="eastAsia"/>
          <w:b/>
          <w:bCs/>
          <w:u w:val="single"/>
          <w:rtl/>
        </w:rPr>
        <w:t>לכבד</w:t>
      </w:r>
      <w:r w:rsidRPr="00B72859">
        <w:rPr>
          <w:rFonts w:ascii="David" w:hAnsi="David" w:cs="David"/>
          <w:b/>
          <w:bCs/>
          <w:u w:val="single"/>
          <w:rtl/>
        </w:rPr>
        <w:t xml:space="preserve"> </w:t>
      </w:r>
      <w:r w:rsidRPr="00B72859">
        <w:rPr>
          <w:rFonts w:ascii="David" w:hAnsi="David" w:cs="David" w:hint="eastAsia"/>
          <w:b/>
          <w:bCs/>
          <w:u w:val="single"/>
          <w:rtl/>
        </w:rPr>
        <w:t>כל</w:t>
      </w:r>
      <w:r w:rsidRPr="00B72859">
        <w:rPr>
          <w:rFonts w:ascii="David" w:hAnsi="David" w:cs="David"/>
          <w:b/>
          <w:bCs/>
          <w:u w:val="single"/>
          <w:rtl/>
        </w:rPr>
        <w:t xml:space="preserve"> </w:t>
      </w:r>
      <w:r w:rsidRPr="00B72859">
        <w:rPr>
          <w:rFonts w:ascii="David" w:hAnsi="David" w:cs="David" w:hint="eastAsia"/>
          <w:b/>
          <w:bCs/>
          <w:u w:val="single"/>
          <w:rtl/>
        </w:rPr>
        <w:t>צורת</w:t>
      </w:r>
      <w:r w:rsidRPr="00B72859">
        <w:rPr>
          <w:rFonts w:ascii="David" w:hAnsi="David" w:cs="David"/>
          <w:b/>
          <w:bCs/>
          <w:u w:val="single"/>
          <w:rtl/>
        </w:rPr>
        <w:t xml:space="preserve"> </w:t>
      </w:r>
      <w:r w:rsidRPr="00B72859">
        <w:rPr>
          <w:rFonts w:ascii="David" w:hAnsi="David" w:cs="David" w:hint="eastAsia"/>
          <w:b/>
          <w:bCs/>
          <w:u w:val="single"/>
          <w:rtl/>
        </w:rPr>
        <w:t>חיים</w:t>
      </w:r>
      <w:r w:rsidRPr="00B72859">
        <w:rPr>
          <w:rFonts w:ascii="David" w:hAnsi="David" w:cs="David"/>
          <w:b/>
          <w:bCs/>
          <w:u w:val="single"/>
          <w:rtl/>
        </w:rPr>
        <w:t xml:space="preserve"> </w:t>
      </w:r>
      <w:r w:rsidRPr="00B72859">
        <w:rPr>
          <w:rFonts w:ascii="David" w:hAnsi="David" w:cs="David" w:hint="eastAsia"/>
          <w:b/>
          <w:bCs/>
          <w:u w:val="single"/>
          <w:rtl/>
        </w:rPr>
        <w:t>וכל</w:t>
      </w:r>
      <w:r w:rsidRPr="00B72859">
        <w:rPr>
          <w:rFonts w:ascii="David" w:hAnsi="David" w:cs="David"/>
          <w:b/>
          <w:bCs/>
          <w:u w:val="single"/>
          <w:rtl/>
        </w:rPr>
        <w:t xml:space="preserve"> </w:t>
      </w:r>
      <w:r w:rsidRPr="00B72859">
        <w:rPr>
          <w:rFonts w:ascii="David" w:hAnsi="David" w:cs="David" w:hint="eastAsia"/>
          <w:b/>
          <w:bCs/>
          <w:u w:val="single"/>
          <w:rtl/>
        </w:rPr>
        <w:t>תא</w:t>
      </w:r>
      <w:r w:rsidRPr="00B72859">
        <w:rPr>
          <w:rFonts w:ascii="David" w:hAnsi="David" w:cs="David"/>
          <w:b/>
          <w:bCs/>
          <w:u w:val="single"/>
          <w:rtl/>
        </w:rPr>
        <w:t xml:space="preserve"> </w:t>
      </w:r>
      <w:r w:rsidRPr="00B72859">
        <w:rPr>
          <w:rFonts w:ascii="David" w:hAnsi="David" w:cs="David" w:hint="eastAsia"/>
          <w:b/>
          <w:bCs/>
          <w:u w:val="single"/>
          <w:rtl/>
        </w:rPr>
        <w:t>משפחתי</w:t>
      </w:r>
      <w:r w:rsidRPr="00B72859">
        <w:rPr>
          <w:rFonts w:ascii="David" w:hAnsi="David" w:cs="David"/>
          <w:b/>
          <w:bCs/>
          <w:u w:val="single"/>
          <w:rtl/>
        </w:rPr>
        <w:t xml:space="preserve"> </w:t>
      </w:r>
      <w:r w:rsidRPr="00B72859">
        <w:rPr>
          <w:rFonts w:ascii="David" w:hAnsi="David" w:cs="David" w:hint="eastAsia"/>
          <w:b/>
          <w:bCs/>
          <w:u w:val="single"/>
          <w:rtl/>
        </w:rPr>
        <w:t>שמבקש</w:t>
      </w:r>
      <w:r w:rsidRPr="00B72859">
        <w:rPr>
          <w:rFonts w:ascii="David" w:hAnsi="David" w:cs="David"/>
          <w:b/>
          <w:bCs/>
          <w:u w:val="single"/>
          <w:rtl/>
        </w:rPr>
        <w:t xml:space="preserve"> </w:t>
      </w:r>
      <w:r w:rsidRPr="00B72859">
        <w:rPr>
          <w:rFonts w:ascii="David" w:hAnsi="David" w:cs="David" w:hint="eastAsia"/>
          <w:b/>
          <w:bCs/>
          <w:u w:val="single"/>
          <w:rtl/>
        </w:rPr>
        <w:t>אדם</w:t>
      </w:r>
      <w:r w:rsidRPr="00B72859">
        <w:rPr>
          <w:rFonts w:ascii="David" w:hAnsi="David" w:cs="David"/>
          <w:b/>
          <w:bCs/>
          <w:u w:val="single"/>
          <w:rtl/>
        </w:rPr>
        <w:t xml:space="preserve"> </w:t>
      </w:r>
      <w:r w:rsidRPr="00B72859">
        <w:rPr>
          <w:rFonts w:ascii="David" w:hAnsi="David" w:cs="David" w:hint="eastAsia"/>
          <w:b/>
          <w:bCs/>
          <w:u w:val="single"/>
          <w:rtl/>
        </w:rPr>
        <w:t>לעצמו</w:t>
      </w:r>
      <w:r w:rsidRPr="00B72859">
        <w:rPr>
          <w:rFonts w:ascii="David" w:hAnsi="David" w:cs="David"/>
          <w:rtl/>
        </w:rPr>
        <w:t xml:space="preserve">" (פסקאות 11-16 </w:t>
      </w:r>
      <w:r w:rsidRPr="00B72859">
        <w:rPr>
          <w:rFonts w:ascii="David" w:hAnsi="David" w:cs="David" w:hint="eastAsia"/>
          <w:rtl/>
        </w:rPr>
        <w:t>לפסק</w:t>
      </w:r>
      <w:r w:rsidRPr="00B72859">
        <w:rPr>
          <w:rFonts w:ascii="David" w:hAnsi="David" w:cs="David"/>
          <w:rtl/>
        </w:rPr>
        <w:t xml:space="preserve"> </w:t>
      </w:r>
      <w:r w:rsidRPr="00B72859">
        <w:rPr>
          <w:rFonts w:ascii="David" w:hAnsi="David" w:cs="David" w:hint="eastAsia"/>
          <w:rtl/>
        </w:rPr>
        <w:t>דינו</w:t>
      </w:r>
      <w:r w:rsidRPr="00B72859">
        <w:rPr>
          <w:rFonts w:ascii="David" w:hAnsi="David" w:cs="David"/>
          <w:rtl/>
        </w:rPr>
        <w:t>)</w:t>
      </w:r>
    </w:p>
    <w:p w14:paraId="3FAFD5C9" w14:textId="443EB557" w:rsidR="00917553" w:rsidRDefault="00E36C7C" w:rsidP="00725036">
      <w:pPr>
        <w:numPr>
          <w:ilvl w:val="0"/>
          <w:numId w:val="4"/>
        </w:numPr>
        <w:tabs>
          <w:tab w:val="num" w:pos="540"/>
        </w:tabs>
        <w:spacing w:before="240" w:line="360" w:lineRule="auto"/>
        <w:jc w:val="both"/>
        <w:rPr>
          <w:rFonts w:ascii="David" w:hAnsi="David" w:cs="David"/>
        </w:rPr>
      </w:pPr>
      <w:r>
        <w:rPr>
          <w:rFonts w:ascii="David" w:hAnsi="David" w:cs="David" w:hint="cs"/>
          <w:rtl/>
        </w:rPr>
        <w:t>במקרה הנוכחי, עסקינן בפגיעה בליבת הזכות לשוויון. ראשית, מדובר במדיניות שבאופן מובהק מדירה את כל בני הזוג בני אותו המין מגדרה. שנית, מדובר בפגיעה בשוויון בהקצאת משאבים. שלישית, מדובר בפגיעה בשוויון העולה כדי השפלה. למעשה, די בקריאת התשובה המקוממת של המשיבה לפני</w:t>
      </w:r>
      <w:r w:rsidR="00D41869">
        <w:rPr>
          <w:rFonts w:ascii="David" w:hAnsi="David" w:cs="David" w:hint="cs"/>
          <w:rtl/>
        </w:rPr>
        <w:t>יה</w:t>
      </w:r>
      <w:r>
        <w:rPr>
          <w:rFonts w:ascii="David" w:hAnsi="David" w:cs="David" w:hint="cs"/>
          <w:rtl/>
        </w:rPr>
        <w:t xml:space="preserve"> אליה, המשווה את רצונם של בני זוג בני אותו המין להצהיר על זוגיותם לארוחת ערב, </w:t>
      </w:r>
      <w:r w:rsidR="00917553">
        <w:rPr>
          <w:rFonts w:ascii="David" w:hAnsi="David" w:cs="David" w:hint="cs"/>
          <w:rtl/>
        </w:rPr>
        <w:t xml:space="preserve">על מנת ללמד על הכוונה המפלה והמשפילה שביסוד המדיניות (הגם שלמותר לציין, כי אפילו אם לא הייתה כוונה כזו, די בתוצאה המפלה כדי להביא לבטלות המדיניות). </w:t>
      </w:r>
    </w:p>
    <w:p w14:paraId="522F8EE9" w14:textId="77777777" w:rsidR="00917553" w:rsidRDefault="00917553" w:rsidP="00725036">
      <w:pPr>
        <w:numPr>
          <w:ilvl w:val="0"/>
          <w:numId w:val="4"/>
        </w:numPr>
        <w:tabs>
          <w:tab w:val="num" w:pos="540"/>
        </w:tabs>
        <w:spacing w:before="240" w:line="360" w:lineRule="auto"/>
        <w:jc w:val="both"/>
        <w:rPr>
          <w:rFonts w:ascii="David" w:hAnsi="David" w:cs="David"/>
        </w:rPr>
      </w:pPr>
      <w:r>
        <w:rPr>
          <w:rFonts w:ascii="David" w:hAnsi="David" w:cs="David" w:hint="cs"/>
          <w:rtl/>
        </w:rPr>
        <w:t xml:space="preserve">פגיעה זו חמורה במיוחד בשים לב לנסיבות של קביעת המדיניות מלכתחילה. המדיניות נועדה להתמודד עם חוסר היכולת לערוך טקסי חתונה בתקופת הקורונה. </w:t>
      </w:r>
    </w:p>
    <w:p w14:paraId="24FDF5C0" w14:textId="1849BC77" w:rsidR="00917553" w:rsidRDefault="00917553" w:rsidP="00725036">
      <w:pPr>
        <w:numPr>
          <w:ilvl w:val="0"/>
          <w:numId w:val="4"/>
        </w:numPr>
        <w:tabs>
          <w:tab w:val="num" w:pos="540"/>
        </w:tabs>
        <w:spacing w:before="240" w:line="360" w:lineRule="auto"/>
        <w:jc w:val="both"/>
        <w:rPr>
          <w:rFonts w:ascii="David" w:hAnsi="David" w:cs="David"/>
        </w:rPr>
      </w:pPr>
      <w:r>
        <w:rPr>
          <w:rFonts w:ascii="David" w:hAnsi="David" w:cs="David" w:hint="cs"/>
          <w:rtl/>
        </w:rPr>
        <w:t xml:space="preserve">בעוד שבעבור הטרוסקסואלים שמעוניינים </w:t>
      </w:r>
      <w:r w:rsidR="00D41869">
        <w:rPr>
          <w:rFonts w:ascii="David" w:hAnsi="David" w:cs="David" w:hint="cs"/>
          <w:rtl/>
        </w:rPr>
        <w:t xml:space="preserve">ויכולים </w:t>
      </w:r>
      <w:r>
        <w:rPr>
          <w:rFonts w:ascii="David" w:hAnsi="David" w:cs="David" w:hint="cs"/>
          <w:rtl/>
        </w:rPr>
        <w:t xml:space="preserve">להינשא ברבנות, ישנה אפשרות להסדיר את המעמד הזוגי באמצעות קביעת סטטוס גם בתקופת הקורונה, והטקס הוא סימלי בלבד, הדברים שונים לבני זוג בני אותו המין. </w:t>
      </w:r>
    </w:p>
    <w:p w14:paraId="0E0CC319" w14:textId="4833FAFF" w:rsidR="00917553" w:rsidRDefault="00917553" w:rsidP="00D41869">
      <w:pPr>
        <w:numPr>
          <w:ilvl w:val="0"/>
          <w:numId w:val="4"/>
        </w:numPr>
        <w:tabs>
          <w:tab w:val="num" w:pos="540"/>
        </w:tabs>
        <w:spacing w:before="240" w:line="360" w:lineRule="auto"/>
        <w:jc w:val="both"/>
        <w:rPr>
          <w:rFonts w:ascii="David" w:hAnsi="David" w:cs="David"/>
        </w:rPr>
      </w:pPr>
      <w:r>
        <w:rPr>
          <w:rFonts w:ascii="David" w:hAnsi="David" w:cs="David" w:hint="cs"/>
          <w:rtl/>
        </w:rPr>
        <w:t>עבור בני זוג בני אותו המין, בהעדר אפשרות להינשא בארץ, ונוכח חוסר היכולת לטוס לחו"ל על מנת להינשא במדינה המתירה זו, הדרך היחידה שנותרה להסדרת המעמד הזוגי היא על ידי גילוי הרצון לקיום משק בית משותף בפרהסיה. עריכת טקס חתונה פרטית משמשת ראיה לבני הזוג בני אותו המין בהליכים רב</w:t>
      </w:r>
      <w:r w:rsidR="00D41869">
        <w:rPr>
          <w:rFonts w:ascii="David" w:hAnsi="David" w:cs="David" w:hint="cs"/>
          <w:rtl/>
        </w:rPr>
        <w:t>ים</w:t>
      </w:r>
      <w:r>
        <w:rPr>
          <w:rFonts w:ascii="David" w:hAnsi="David" w:cs="David" w:hint="cs"/>
          <w:rtl/>
        </w:rPr>
        <w:t>, לרבות הליכים להסדרת מעמד, הליכים לרישום הורות (צווי הורות) ועוד, לקיומו של משק הבית המשותף.</w:t>
      </w:r>
    </w:p>
    <w:p w14:paraId="37B04818" w14:textId="132CE859" w:rsidR="00725036" w:rsidRPr="00B72859" w:rsidRDefault="00917553" w:rsidP="00B72859">
      <w:pPr>
        <w:numPr>
          <w:ilvl w:val="0"/>
          <w:numId w:val="4"/>
        </w:numPr>
        <w:tabs>
          <w:tab w:val="num" w:pos="540"/>
        </w:tabs>
        <w:spacing w:before="240" w:line="360" w:lineRule="auto"/>
        <w:jc w:val="both"/>
        <w:rPr>
          <w:rFonts w:ascii="David" w:hAnsi="David" w:cs="David"/>
          <w:rtl/>
        </w:rPr>
      </w:pPr>
      <w:r>
        <w:rPr>
          <w:rFonts w:ascii="David" w:hAnsi="David" w:cs="David" w:hint="cs"/>
          <w:rtl/>
        </w:rPr>
        <w:t xml:space="preserve">היוצא מהאמור הוא שהגם שבני זוג בני אותו המין נפגעים יותר במישור של הסדרת הזוגיות בשל תקופת הקורונה, דווקא להם לא נותנת המשיבה כל מענה, ודווקא אותם היא מדירה. </w:t>
      </w:r>
      <w:r w:rsidR="00725036">
        <w:rPr>
          <w:rFonts w:ascii="David" w:hAnsi="David" w:cs="David" w:hint="cs"/>
          <w:rtl/>
        </w:rPr>
        <w:t xml:space="preserve">  </w:t>
      </w:r>
    </w:p>
    <w:p w14:paraId="6E9F2056" w14:textId="07A5A4EE" w:rsidR="00E77EE2" w:rsidRDefault="00605F2E" w:rsidP="00E80F9C">
      <w:pPr>
        <w:autoSpaceDE/>
        <w:autoSpaceDN/>
        <w:spacing w:before="240" w:after="240" w:line="360" w:lineRule="auto"/>
        <w:jc w:val="both"/>
        <w:rPr>
          <w:rFonts w:ascii="David" w:hAnsi="David" w:cs="David"/>
          <w:b/>
          <w:bCs/>
          <w:u w:val="single"/>
          <w:rtl/>
        </w:rPr>
      </w:pPr>
      <w:r>
        <w:rPr>
          <w:rFonts w:ascii="David" w:hAnsi="David" w:cs="David" w:hint="cs"/>
          <w:b/>
          <w:bCs/>
          <w:u w:val="single"/>
          <w:rtl/>
        </w:rPr>
        <w:t>פגיעה בזכות לאוטונומיה ולכבוד</w:t>
      </w:r>
      <w:r w:rsidR="00E80F9C">
        <w:rPr>
          <w:rFonts w:ascii="David" w:hAnsi="David" w:cs="David" w:hint="cs"/>
          <w:b/>
          <w:bCs/>
          <w:u w:val="single"/>
          <w:rtl/>
        </w:rPr>
        <w:t xml:space="preserve"> </w:t>
      </w:r>
    </w:p>
    <w:p w14:paraId="5706ED45" w14:textId="3E352F90" w:rsidR="00367E94" w:rsidRPr="00D41869" w:rsidRDefault="00605F2E" w:rsidP="001E585F">
      <w:pPr>
        <w:numPr>
          <w:ilvl w:val="0"/>
          <w:numId w:val="4"/>
        </w:numPr>
        <w:tabs>
          <w:tab w:val="num" w:pos="540"/>
        </w:tabs>
        <w:spacing w:before="240" w:line="360" w:lineRule="auto"/>
        <w:jc w:val="both"/>
        <w:rPr>
          <w:rFonts w:ascii="David" w:hAnsi="David" w:cs="David"/>
        </w:rPr>
      </w:pPr>
      <w:r w:rsidRPr="00D41869">
        <w:rPr>
          <w:rFonts w:ascii="David" w:hAnsi="David" w:cs="David" w:hint="cs"/>
          <w:rtl/>
        </w:rPr>
        <w:t xml:space="preserve">על היחס שבין הזכות החוקתית של כל אדם להסדיר את מעמדו האישי ולהצהיר על מחויבותו הזוגית בפני קהילתו, לבין הסדרת סטטוס הנישואין בישראל על ידי המוסדות הדתיים, עמד בית המשפט העליון </w:t>
      </w:r>
      <w:r w:rsidRPr="00D41869">
        <w:rPr>
          <w:rFonts w:ascii="David" w:hAnsi="David" w:cs="David" w:hint="eastAsia"/>
          <w:rtl/>
        </w:rPr>
        <w:t>בפרשת</w:t>
      </w:r>
      <w:r w:rsidRPr="00D41869">
        <w:rPr>
          <w:rFonts w:ascii="David" w:hAnsi="David" w:cs="David"/>
          <w:rtl/>
        </w:rPr>
        <w:t xml:space="preserve"> </w:t>
      </w:r>
      <w:r w:rsidRPr="00B72859">
        <w:rPr>
          <w:rFonts w:ascii="David" w:hAnsi="David" w:cs="David" w:hint="eastAsia"/>
          <w:b/>
          <w:bCs/>
          <w:rtl/>
        </w:rPr>
        <w:t>פלונית</w:t>
      </w:r>
      <w:r w:rsidRPr="00D41869">
        <w:rPr>
          <w:rFonts w:ascii="David" w:hAnsi="David" w:cs="David"/>
          <w:rtl/>
        </w:rPr>
        <w:t xml:space="preserve"> (</w:t>
      </w:r>
      <w:r w:rsidRPr="00B72859">
        <w:rPr>
          <w:rFonts w:ascii="David" w:hAnsi="David" w:cs="David" w:hint="eastAsia"/>
          <w:rtl/>
        </w:rPr>
        <w:t>בג</w:t>
      </w:r>
      <w:r w:rsidRPr="00B72859">
        <w:rPr>
          <w:rFonts w:ascii="David" w:hAnsi="David" w:cs="David"/>
          <w:rtl/>
        </w:rPr>
        <w:t xml:space="preserve">"ץ 6929/10‏ </w:t>
      </w:r>
      <w:r w:rsidRPr="00B72859">
        <w:rPr>
          <w:rFonts w:ascii="David" w:hAnsi="David" w:cs="David" w:hint="eastAsia"/>
          <w:b/>
          <w:bCs/>
          <w:rtl/>
        </w:rPr>
        <w:t>פלונית</w:t>
      </w:r>
      <w:r w:rsidRPr="00B72859">
        <w:rPr>
          <w:rFonts w:ascii="David" w:hAnsi="David" w:cs="David"/>
          <w:b/>
          <w:bCs/>
          <w:rtl/>
        </w:rPr>
        <w:t xml:space="preserve"> </w:t>
      </w:r>
      <w:r w:rsidRPr="00B72859">
        <w:rPr>
          <w:rFonts w:ascii="David" w:hAnsi="David" w:cs="David" w:hint="eastAsia"/>
          <w:b/>
          <w:bCs/>
          <w:rtl/>
        </w:rPr>
        <w:t>נ</w:t>
      </w:r>
      <w:r w:rsidRPr="00B72859">
        <w:rPr>
          <w:rFonts w:ascii="David" w:hAnsi="David" w:cs="David"/>
          <w:b/>
          <w:bCs/>
          <w:rtl/>
        </w:rPr>
        <w:t xml:space="preserve">' </w:t>
      </w:r>
      <w:r w:rsidRPr="00B72859">
        <w:rPr>
          <w:rFonts w:ascii="David" w:hAnsi="David" w:cs="David" w:hint="eastAsia"/>
          <w:b/>
          <w:bCs/>
          <w:rtl/>
        </w:rPr>
        <w:t>בית</w:t>
      </w:r>
      <w:r w:rsidRPr="00B72859">
        <w:rPr>
          <w:rFonts w:ascii="David" w:hAnsi="David" w:cs="David"/>
          <w:b/>
          <w:bCs/>
          <w:rtl/>
        </w:rPr>
        <w:t xml:space="preserve"> </w:t>
      </w:r>
      <w:r w:rsidRPr="00B72859">
        <w:rPr>
          <w:rFonts w:ascii="David" w:hAnsi="David" w:cs="David" w:hint="eastAsia"/>
          <w:b/>
          <w:bCs/>
          <w:rtl/>
        </w:rPr>
        <w:t>הדין</w:t>
      </w:r>
      <w:r w:rsidRPr="00B72859">
        <w:rPr>
          <w:rFonts w:ascii="David" w:hAnsi="David" w:cs="David"/>
          <w:b/>
          <w:bCs/>
          <w:rtl/>
        </w:rPr>
        <w:t xml:space="preserve"> </w:t>
      </w:r>
      <w:r w:rsidRPr="00B72859">
        <w:rPr>
          <w:rFonts w:ascii="David" w:hAnsi="David" w:cs="David" w:hint="eastAsia"/>
          <w:b/>
          <w:bCs/>
          <w:rtl/>
        </w:rPr>
        <w:t>הרבני</w:t>
      </w:r>
      <w:r w:rsidRPr="00B72859">
        <w:rPr>
          <w:rFonts w:ascii="David" w:hAnsi="David" w:cs="David"/>
          <w:b/>
          <w:bCs/>
          <w:rtl/>
        </w:rPr>
        <w:t xml:space="preserve"> </w:t>
      </w:r>
      <w:r w:rsidRPr="00B72859">
        <w:rPr>
          <w:rFonts w:ascii="David" w:hAnsi="David" w:cs="David" w:hint="eastAsia"/>
          <w:b/>
          <w:bCs/>
          <w:rtl/>
        </w:rPr>
        <w:t>הגדול</w:t>
      </w:r>
      <w:r w:rsidRPr="00B72859">
        <w:rPr>
          <w:rFonts w:ascii="David" w:hAnsi="David" w:cs="David"/>
          <w:rtl/>
        </w:rPr>
        <w:t xml:space="preserve"> </w:t>
      </w:r>
      <w:r w:rsidRPr="00B72859">
        <w:rPr>
          <w:rFonts w:ascii="David" w:hAnsi="David" w:cs="David"/>
          <w:rtl/>
        </w:rPr>
        <w:lastRenderedPageBreak/>
        <w:t>(20.3.2013)</w:t>
      </w:r>
      <w:r w:rsidRPr="00D41869">
        <w:rPr>
          <w:rFonts w:ascii="David" w:hAnsi="David" w:cs="David"/>
          <w:rtl/>
        </w:rPr>
        <w:t>).</w:t>
      </w:r>
      <w:r w:rsidR="00D41869" w:rsidRPr="00D41869">
        <w:rPr>
          <w:rFonts w:ascii="David" w:hAnsi="David" w:cs="David" w:hint="cs"/>
          <w:rtl/>
        </w:rPr>
        <w:t xml:space="preserve"> </w:t>
      </w:r>
      <w:r w:rsidRPr="00D41869">
        <w:rPr>
          <w:rFonts w:ascii="David" w:hAnsi="David" w:cs="David" w:hint="cs"/>
          <w:rtl/>
        </w:rPr>
        <w:t>הובהר, כי הגם שהסמכות הסימבולית, לרשום את הנישואין, מסורה בידי רשויות דתיות, אין בכך כדי לצמצם מהזכות העומדת לכל אדם להסדיר את מעמדו האישי כפי דרכו, ומחובתה של המדינה לכבד הסדרה זו. כך, ציין כב' המשנה לנשיאה (בדימוס) ג'ובראן כי</w:t>
      </w:r>
      <w:r w:rsidR="00537359">
        <w:rPr>
          <w:rFonts w:ascii="David" w:hAnsi="David" w:cs="David" w:hint="cs"/>
          <w:rtl/>
        </w:rPr>
        <w:t>:</w:t>
      </w:r>
    </w:p>
    <w:p w14:paraId="0C17F9AA" w14:textId="0D30F07E" w:rsidR="00367E94" w:rsidRPr="00B72859" w:rsidRDefault="00367E94" w:rsidP="00B72859">
      <w:pPr>
        <w:spacing w:before="240" w:line="360" w:lineRule="auto"/>
        <w:ind w:left="1440" w:right="851"/>
        <w:jc w:val="both"/>
        <w:rPr>
          <w:rFonts w:ascii="David" w:hAnsi="David" w:cs="David"/>
          <w:shd w:val="clear" w:color="auto" w:fill="FFFFFF"/>
        </w:rPr>
      </w:pPr>
      <w:r>
        <w:rPr>
          <w:rFonts w:ascii="David" w:hAnsi="David" w:cs="David" w:hint="cs"/>
          <w:shd w:val="clear" w:color="auto" w:fill="FFFFFF"/>
          <w:rtl/>
        </w:rPr>
        <w:t>"</w:t>
      </w:r>
      <w:r w:rsidRPr="00B72859">
        <w:rPr>
          <w:rFonts w:ascii="David" w:hAnsi="David" w:cs="David"/>
          <w:shd w:val="clear" w:color="auto" w:fill="FFFFFF"/>
          <w:rtl/>
        </w:rPr>
        <w:t>בדין הישראלי, מזה עשרות בשנים, הופרדו זו מזו שאלת עצם כינון מוסד הנישואין בישראל, ושאלת הזכויות המשפטיות-כלכליות הקמות עקב מיסוד הזוגיות" (</w:t>
      </w:r>
      <w:r w:rsidRPr="00B72859">
        <w:rPr>
          <w:rFonts w:ascii="David" w:hAnsi="David" w:cs="David" w:hint="eastAsia"/>
          <w:b/>
          <w:bCs/>
          <w:shd w:val="clear" w:color="auto" w:fill="FFFFFF"/>
          <w:rtl/>
        </w:rPr>
        <w:t>שם</w:t>
      </w:r>
      <w:r>
        <w:rPr>
          <w:rFonts w:ascii="David" w:hAnsi="David" w:cs="David" w:hint="cs"/>
          <w:shd w:val="clear" w:color="auto" w:fill="FFFFFF"/>
          <w:rtl/>
        </w:rPr>
        <w:t>, פסקה 1</w:t>
      </w:r>
      <w:r w:rsidR="00537359">
        <w:rPr>
          <w:rFonts w:ascii="David" w:hAnsi="David" w:cs="David" w:hint="cs"/>
          <w:shd w:val="clear" w:color="auto" w:fill="FFFFFF"/>
          <w:rtl/>
        </w:rPr>
        <w:t>6</w:t>
      </w:r>
      <w:r>
        <w:rPr>
          <w:rFonts w:ascii="David" w:hAnsi="David" w:cs="David" w:hint="cs"/>
          <w:shd w:val="clear" w:color="auto" w:fill="FFFFFF"/>
          <w:rtl/>
        </w:rPr>
        <w:t xml:space="preserve"> לפסק דינו</w:t>
      </w:r>
      <w:r w:rsidRPr="00B72859">
        <w:rPr>
          <w:rFonts w:ascii="David" w:hAnsi="David" w:cs="David"/>
          <w:shd w:val="clear" w:color="auto" w:fill="FFFFFF"/>
          <w:rtl/>
        </w:rPr>
        <w:t>)</w:t>
      </w:r>
    </w:p>
    <w:p w14:paraId="78039ACE" w14:textId="70FF4571" w:rsidR="00605F2E" w:rsidRDefault="00367E94" w:rsidP="00605F2E">
      <w:pPr>
        <w:numPr>
          <w:ilvl w:val="0"/>
          <w:numId w:val="4"/>
        </w:numPr>
        <w:tabs>
          <w:tab w:val="num" w:pos="540"/>
        </w:tabs>
        <w:spacing w:before="240" w:line="360" w:lineRule="auto"/>
        <w:jc w:val="both"/>
        <w:rPr>
          <w:rFonts w:ascii="David" w:hAnsi="David" w:cs="David"/>
        </w:rPr>
      </w:pPr>
      <w:r>
        <w:rPr>
          <w:rFonts w:ascii="David" w:hAnsi="David" w:cs="David" w:hint="cs"/>
          <w:rtl/>
        </w:rPr>
        <w:t>ובהמשך</w:t>
      </w:r>
      <w:r w:rsidR="00605F2E">
        <w:rPr>
          <w:rFonts w:ascii="David" w:hAnsi="David" w:cs="David" w:hint="cs"/>
          <w:rtl/>
        </w:rPr>
        <w:t>:</w:t>
      </w:r>
    </w:p>
    <w:p w14:paraId="60427A2B" w14:textId="6A5B2C5F" w:rsidR="00605F2E" w:rsidRPr="00B72859" w:rsidRDefault="00605F2E" w:rsidP="00B72859">
      <w:pPr>
        <w:spacing w:before="240" w:line="360" w:lineRule="auto"/>
        <w:ind w:left="1440" w:right="851"/>
        <w:jc w:val="both"/>
        <w:rPr>
          <w:rFonts w:ascii="David" w:hAnsi="David" w:cs="David"/>
          <w:shd w:val="clear" w:color="auto" w:fill="FFFFFF"/>
          <w:rtl/>
        </w:rPr>
      </w:pPr>
      <w:r w:rsidRPr="00B72859">
        <w:rPr>
          <w:rFonts w:ascii="David" w:hAnsi="David" w:cs="David"/>
          <w:shd w:val="clear" w:color="auto" w:fill="FFFFFF"/>
          <w:rtl/>
        </w:rPr>
        <w:t xml:space="preserve">"הפרשנות המבכרת את חופש הבחירה בין הערכאות על פני היעילות הפרוצדוראלית עוברת כחוט השני בפסיקתו של בית משפט זה בתחום דיני המשפחה. פרשנות זו זוכה ליתר תוקף משנחקק חוק יסוד: כבוד האדם וחירותו, </w:t>
      </w:r>
      <w:r w:rsidRPr="00B72859">
        <w:rPr>
          <w:rFonts w:ascii="David" w:hAnsi="David" w:cs="David"/>
          <w:b/>
          <w:bCs/>
          <w:shd w:val="clear" w:color="auto" w:fill="FFFFFF"/>
          <w:rtl/>
        </w:rPr>
        <w:t>המעלה על נס, כאמור, את האוטונומיה של הפרט, ומחייב, לגישתי, פרשנות פלורליסטית של הדין, באופן שייצוק משמעות מירבית לחופש הבחירה וחופש הדת, לרבות חופש מדת, של הפרטים במדינה</w:t>
      </w:r>
      <w:r w:rsidRPr="00B72859">
        <w:rPr>
          <w:rFonts w:ascii="David" w:hAnsi="David" w:cs="David"/>
          <w:shd w:val="clear" w:color="auto" w:fill="FFFFFF"/>
          <w:rtl/>
        </w:rPr>
        <w:t>" (</w:t>
      </w:r>
      <w:r w:rsidRPr="00B72859">
        <w:rPr>
          <w:rFonts w:ascii="David" w:hAnsi="David" w:cs="David" w:hint="eastAsia"/>
          <w:b/>
          <w:bCs/>
          <w:shd w:val="clear" w:color="auto" w:fill="FFFFFF"/>
          <w:rtl/>
        </w:rPr>
        <w:t>שם</w:t>
      </w:r>
      <w:r w:rsidRPr="00B72859">
        <w:rPr>
          <w:rFonts w:ascii="David" w:hAnsi="David" w:cs="David"/>
          <w:b/>
          <w:bCs/>
          <w:shd w:val="clear" w:color="auto" w:fill="FFFFFF"/>
          <w:rtl/>
        </w:rPr>
        <w:t xml:space="preserve">, </w:t>
      </w:r>
      <w:r w:rsidRPr="00B72859">
        <w:rPr>
          <w:rFonts w:ascii="David" w:hAnsi="David" w:cs="David" w:hint="eastAsia"/>
          <w:shd w:val="clear" w:color="auto" w:fill="FFFFFF"/>
          <w:rtl/>
        </w:rPr>
        <w:t>פסקה</w:t>
      </w:r>
      <w:r w:rsidRPr="00B72859">
        <w:rPr>
          <w:rFonts w:ascii="David" w:hAnsi="David" w:cs="David"/>
          <w:shd w:val="clear" w:color="auto" w:fill="FFFFFF"/>
          <w:rtl/>
        </w:rPr>
        <w:t xml:space="preserve"> 32 </w:t>
      </w:r>
      <w:r w:rsidRPr="00B72859">
        <w:rPr>
          <w:rFonts w:ascii="David" w:hAnsi="David" w:cs="David" w:hint="eastAsia"/>
          <w:shd w:val="clear" w:color="auto" w:fill="FFFFFF"/>
          <w:rtl/>
        </w:rPr>
        <w:t>לפסק</w:t>
      </w:r>
      <w:r w:rsidRPr="00B72859">
        <w:rPr>
          <w:rFonts w:ascii="David" w:hAnsi="David" w:cs="David"/>
          <w:shd w:val="clear" w:color="auto" w:fill="FFFFFF"/>
          <w:rtl/>
        </w:rPr>
        <w:t xml:space="preserve"> </w:t>
      </w:r>
      <w:r w:rsidRPr="00B72859">
        <w:rPr>
          <w:rFonts w:ascii="David" w:hAnsi="David" w:cs="David" w:hint="eastAsia"/>
          <w:shd w:val="clear" w:color="auto" w:fill="FFFFFF"/>
          <w:rtl/>
        </w:rPr>
        <w:t>דינו</w:t>
      </w:r>
      <w:r w:rsidRPr="00B72859">
        <w:rPr>
          <w:rFonts w:ascii="David" w:hAnsi="David" w:cs="David"/>
          <w:shd w:val="clear" w:color="auto" w:fill="FFFFFF"/>
          <w:rtl/>
        </w:rPr>
        <w:t>).</w:t>
      </w:r>
    </w:p>
    <w:p w14:paraId="46C21FFD" w14:textId="30DFCA38" w:rsidR="00605F2E" w:rsidRPr="00605F2E" w:rsidRDefault="00605F2E" w:rsidP="00537359">
      <w:pPr>
        <w:numPr>
          <w:ilvl w:val="0"/>
          <w:numId w:val="4"/>
        </w:numPr>
        <w:tabs>
          <w:tab w:val="num" w:pos="540"/>
        </w:tabs>
        <w:spacing w:before="240" w:line="360" w:lineRule="auto"/>
        <w:jc w:val="both"/>
        <w:rPr>
          <w:rFonts w:ascii="David" w:hAnsi="David" w:cs="David"/>
        </w:rPr>
      </w:pPr>
      <w:r w:rsidRPr="00605F2E">
        <w:rPr>
          <w:rFonts w:ascii="David" w:hAnsi="David" w:cs="David" w:hint="eastAsia"/>
          <w:rtl/>
        </w:rPr>
        <w:t>ועוד</w:t>
      </w:r>
      <w:r w:rsidRPr="00605F2E">
        <w:rPr>
          <w:rFonts w:ascii="David" w:hAnsi="David" w:cs="David"/>
          <w:rtl/>
        </w:rPr>
        <w:t xml:space="preserve"> </w:t>
      </w:r>
      <w:r w:rsidRPr="00605F2E">
        <w:rPr>
          <w:rFonts w:ascii="David" w:hAnsi="David" w:cs="David" w:hint="eastAsia"/>
          <w:rtl/>
        </w:rPr>
        <w:t>הבהיר</w:t>
      </w:r>
      <w:r w:rsidRPr="00605F2E">
        <w:rPr>
          <w:rFonts w:ascii="David" w:hAnsi="David" w:cs="David"/>
          <w:rtl/>
        </w:rPr>
        <w:t xml:space="preserve"> </w:t>
      </w:r>
      <w:r w:rsidRPr="00605F2E">
        <w:rPr>
          <w:rFonts w:ascii="David" w:hAnsi="David" w:cs="David" w:hint="eastAsia"/>
          <w:rtl/>
        </w:rPr>
        <w:t>בית</w:t>
      </w:r>
      <w:r w:rsidRPr="00605F2E">
        <w:rPr>
          <w:rFonts w:ascii="David" w:hAnsi="David" w:cs="David"/>
          <w:rtl/>
        </w:rPr>
        <w:t xml:space="preserve"> </w:t>
      </w:r>
      <w:r w:rsidRPr="00605F2E">
        <w:rPr>
          <w:rFonts w:ascii="David" w:hAnsi="David" w:cs="David" w:hint="eastAsia"/>
          <w:rtl/>
        </w:rPr>
        <w:t>המשפט</w:t>
      </w:r>
      <w:r w:rsidRPr="00605F2E">
        <w:rPr>
          <w:rFonts w:ascii="David" w:hAnsi="David" w:cs="David"/>
          <w:rtl/>
        </w:rPr>
        <w:t xml:space="preserve"> </w:t>
      </w:r>
      <w:r w:rsidRPr="00605F2E">
        <w:rPr>
          <w:rFonts w:ascii="David" w:hAnsi="David" w:cs="David" w:hint="eastAsia"/>
          <w:rtl/>
        </w:rPr>
        <w:t>באותו</w:t>
      </w:r>
      <w:r w:rsidRPr="00605F2E">
        <w:rPr>
          <w:rFonts w:ascii="David" w:hAnsi="David" w:cs="David"/>
          <w:rtl/>
        </w:rPr>
        <w:t xml:space="preserve"> </w:t>
      </w:r>
      <w:r w:rsidRPr="00605F2E">
        <w:rPr>
          <w:rFonts w:ascii="David" w:hAnsi="David" w:cs="David" w:hint="eastAsia"/>
          <w:rtl/>
        </w:rPr>
        <w:t>עניין</w:t>
      </w:r>
      <w:r w:rsidRPr="00605F2E">
        <w:rPr>
          <w:rFonts w:ascii="David" w:hAnsi="David" w:cs="David"/>
          <w:rtl/>
        </w:rPr>
        <w:t xml:space="preserve"> </w:t>
      </w:r>
      <w:r w:rsidRPr="00605F2E">
        <w:rPr>
          <w:rFonts w:ascii="David" w:hAnsi="David" w:cs="David" w:hint="eastAsia"/>
          <w:rtl/>
        </w:rPr>
        <w:t>כי</w:t>
      </w:r>
      <w:r w:rsidRPr="00605F2E">
        <w:rPr>
          <w:rFonts w:ascii="David" w:hAnsi="David" w:cs="David"/>
          <w:rtl/>
        </w:rPr>
        <w:t xml:space="preserve"> </w:t>
      </w:r>
      <w:r w:rsidRPr="00605F2E">
        <w:rPr>
          <w:rFonts w:ascii="David" w:hAnsi="David" w:cs="David" w:hint="eastAsia"/>
          <w:rtl/>
        </w:rPr>
        <w:t>יש</w:t>
      </w:r>
      <w:r w:rsidRPr="00605F2E">
        <w:rPr>
          <w:rFonts w:ascii="David" w:hAnsi="David" w:cs="David"/>
          <w:rtl/>
        </w:rPr>
        <w:t xml:space="preserve"> </w:t>
      </w:r>
      <w:r w:rsidRPr="00605F2E">
        <w:rPr>
          <w:rFonts w:ascii="David" w:hAnsi="David" w:cs="David" w:hint="eastAsia"/>
          <w:rtl/>
        </w:rPr>
        <w:t>להפריד</w:t>
      </w:r>
      <w:r w:rsidRPr="00605F2E">
        <w:rPr>
          <w:rFonts w:ascii="David" w:hAnsi="David" w:cs="David"/>
          <w:rtl/>
        </w:rPr>
        <w:t xml:space="preserve"> </w:t>
      </w:r>
      <w:r w:rsidRPr="00605F2E">
        <w:rPr>
          <w:rFonts w:ascii="David" w:hAnsi="David" w:cs="David" w:hint="eastAsia"/>
          <w:rtl/>
        </w:rPr>
        <w:t>בין</w:t>
      </w:r>
      <w:r w:rsidRPr="00605F2E">
        <w:rPr>
          <w:rFonts w:ascii="David" w:hAnsi="David" w:cs="David"/>
          <w:rtl/>
        </w:rPr>
        <w:t xml:space="preserve"> </w:t>
      </w:r>
      <w:r w:rsidRPr="00605F2E">
        <w:rPr>
          <w:rFonts w:ascii="David" w:hAnsi="David" w:cs="David" w:hint="eastAsia"/>
          <w:rtl/>
        </w:rPr>
        <w:t>הסמכות</w:t>
      </w:r>
      <w:r w:rsidRPr="00605F2E">
        <w:rPr>
          <w:rFonts w:ascii="David" w:hAnsi="David" w:cs="David"/>
          <w:rtl/>
        </w:rPr>
        <w:t xml:space="preserve"> </w:t>
      </w:r>
      <w:r w:rsidRPr="00605F2E">
        <w:rPr>
          <w:rFonts w:ascii="David" w:hAnsi="David" w:cs="David" w:hint="eastAsia"/>
          <w:rtl/>
        </w:rPr>
        <w:t>לקבוע</w:t>
      </w:r>
      <w:r w:rsidRPr="00605F2E">
        <w:rPr>
          <w:rFonts w:ascii="David" w:hAnsi="David" w:cs="David"/>
          <w:rtl/>
        </w:rPr>
        <w:t xml:space="preserve"> </w:t>
      </w:r>
      <w:r w:rsidRPr="00605F2E">
        <w:rPr>
          <w:rFonts w:ascii="David" w:hAnsi="David" w:cs="David" w:hint="eastAsia"/>
          <w:rtl/>
        </w:rPr>
        <w:t>את</w:t>
      </w:r>
      <w:r w:rsidRPr="00605F2E">
        <w:rPr>
          <w:rFonts w:ascii="David" w:hAnsi="David" w:cs="David"/>
          <w:rtl/>
        </w:rPr>
        <w:t xml:space="preserve"> </w:t>
      </w:r>
      <w:r w:rsidRPr="00605F2E">
        <w:rPr>
          <w:rFonts w:ascii="David" w:hAnsi="David" w:cs="David" w:hint="eastAsia"/>
          <w:rtl/>
        </w:rPr>
        <w:t>הסטטוס</w:t>
      </w:r>
      <w:r w:rsidRPr="00605F2E">
        <w:rPr>
          <w:rFonts w:ascii="David" w:hAnsi="David" w:cs="David"/>
          <w:rtl/>
        </w:rPr>
        <w:t xml:space="preserve"> </w:t>
      </w:r>
      <w:r w:rsidRPr="00605F2E">
        <w:rPr>
          <w:rFonts w:ascii="David" w:hAnsi="David" w:cs="David" w:hint="eastAsia"/>
          <w:rtl/>
        </w:rPr>
        <w:t>של</w:t>
      </w:r>
      <w:r w:rsidRPr="00605F2E">
        <w:rPr>
          <w:rFonts w:ascii="David" w:hAnsi="David" w:cs="David"/>
          <w:rtl/>
        </w:rPr>
        <w:t xml:space="preserve"> "נשוי" </w:t>
      </w:r>
      <w:r w:rsidRPr="00605F2E">
        <w:rPr>
          <w:rFonts w:ascii="David" w:hAnsi="David" w:cs="David" w:hint="eastAsia"/>
          <w:rtl/>
        </w:rPr>
        <w:t>לבין</w:t>
      </w:r>
      <w:r w:rsidRPr="00605F2E">
        <w:rPr>
          <w:rFonts w:ascii="David" w:hAnsi="David" w:cs="David"/>
          <w:rtl/>
        </w:rPr>
        <w:t xml:space="preserve"> </w:t>
      </w:r>
      <w:r w:rsidRPr="00605F2E">
        <w:rPr>
          <w:rFonts w:ascii="David" w:hAnsi="David" w:cs="David" w:hint="eastAsia"/>
          <w:rtl/>
        </w:rPr>
        <w:t>המשמעויות</w:t>
      </w:r>
      <w:r w:rsidRPr="00605F2E">
        <w:rPr>
          <w:rFonts w:ascii="David" w:hAnsi="David" w:cs="David"/>
          <w:rtl/>
        </w:rPr>
        <w:t xml:space="preserve"> </w:t>
      </w:r>
      <w:r w:rsidRPr="00605F2E">
        <w:rPr>
          <w:rFonts w:ascii="David" w:hAnsi="David" w:cs="David" w:hint="eastAsia"/>
          <w:rtl/>
        </w:rPr>
        <w:t>החברתיות</w:t>
      </w:r>
      <w:r w:rsidRPr="00605F2E">
        <w:rPr>
          <w:rFonts w:ascii="David" w:hAnsi="David" w:cs="David"/>
          <w:rtl/>
        </w:rPr>
        <w:t xml:space="preserve"> </w:t>
      </w:r>
      <w:r w:rsidRPr="00605F2E">
        <w:rPr>
          <w:rFonts w:ascii="David" w:hAnsi="David" w:cs="David" w:hint="eastAsia"/>
          <w:rtl/>
        </w:rPr>
        <w:t>של</w:t>
      </w:r>
      <w:r w:rsidRPr="00605F2E">
        <w:rPr>
          <w:rFonts w:ascii="David" w:hAnsi="David" w:cs="David"/>
          <w:rtl/>
        </w:rPr>
        <w:t xml:space="preserve"> </w:t>
      </w:r>
      <w:r w:rsidRPr="00605F2E">
        <w:rPr>
          <w:rFonts w:ascii="David" w:hAnsi="David" w:cs="David" w:hint="eastAsia"/>
          <w:rtl/>
        </w:rPr>
        <w:t>הסדרת</w:t>
      </w:r>
      <w:r w:rsidRPr="00605F2E">
        <w:rPr>
          <w:rFonts w:ascii="David" w:hAnsi="David" w:cs="David"/>
          <w:rtl/>
        </w:rPr>
        <w:t xml:space="preserve"> </w:t>
      </w:r>
      <w:r w:rsidRPr="00605F2E">
        <w:rPr>
          <w:rFonts w:ascii="David" w:hAnsi="David" w:cs="David" w:hint="eastAsia"/>
          <w:rtl/>
        </w:rPr>
        <w:t>הזוגיות</w:t>
      </w:r>
      <w:r w:rsidRPr="00605F2E">
        <w:rPr>
          <w:rFonts w:ascii="David" w:hAnsi="David" w:cs="David"/>
          <w:rtl/>
        </w:rPr>
        <w:t xml:space="preserve">, </w:t>
      </w:r>
      <w:r w:rsidRPr="00605F2E">
        <w:rPr>
          <w:rFonts w:ascii="David" w:hAnsi="David" w:cs="David" w:hint="eastAsia"/>
          <w:rtl/>
        </w:rPr>
        <w:t>בציינו</w:t>
      </w:r>
      <w:r w:rsidRPr="00605F2E">
        <w:rPr>
          <w:rFonts w:ascii="David" w:hAnsi="David" w:cs="David"/>
          <w:rtl/>
        </w:rPr>
        <w:t>:</w:t>
      </w:r>
    </w:p>
    <w:p w14:paraId="525FF0ED" w14:textId="77777777" w:rsidR="00605F2E" w:rsidRPr="00B72859" w:rsidRDefault="00605F2E" w:rsidP="00B72859">
      <w:pPr>
        <w:spacing w:before="240" w:line="360" w:lineRule="auto"/>
        <w:ind w:left="1440" w:right="851"/>
        <w:jc w:val="both"/>
        <w:rPr>
          <w:rFonts w:ascii="David" w:hAnsi="David" w:cs="David"/>
        </w:rPr>
      </w:pPr>
      <w:r w:rsidRPr="00B72859">
        <w:rPr>
          <w:rFonts w:ascii="David" w:hAnsi="David" w:cs="David"/>
          <w:rtl/>
        </w:rPr>
        <w:t>"מוסד הנישואין, מספר רבדים לו.</w:t>
      </w:r>
    </w:p>
    <w:p w14:paraId="45AA8CE3" w14:textId="77777777" w:rsidR="00605F2E" w:rsidRPr="00B72859" w:rsidRDefault="00605F2E" w:rsidP="00B72859">
      <w:pPr>
        <w:spacing w:before="240" w:line="360" w:lineRule="auto"/>
        <w:ind w:left="1440" w:right="851"/>
        <w:jc w:val="both"/>
        <w:rPr>
          <w:rFonts w:ascii="David" w:hAnsi="David" w:cs="David"/>
          <w:rtl/>
        </w:rPr>
      </w:pPr>
      <w:r w:rsidRPr="00B72859">
        <w:rPr>
          <w:rFonts w:ascii="David" w:hAnsi="David" w:cs="David"/>
          <w:b/>
          <w:bCs/>
          <w:rtl/>
        </w:rPr>
        <w:t>הרובד האחד</w:t>
      </w:r>
      <w:r w:rsidRPr="00B72859">
        <w:rPr>
          <w:rFonts w:ascii="David" w:hAnsi="David" w:cs="David"/>
          <w:rtl/>
        </w:rPr>
        <w:t xml:space="preserve"> </w:t>
      </w:r>
      <w:r w:rsidRPr="00B72859">
        <w:rPr>
          <w:rFonts w:ascii="David" w:hAnsi="David" w:cs="David"/>
          <w:b/>
          <w:bCs/>
          <w:rtl/>
        </w:rPr>
        <w:t>הוא רובד היחסים בין בני הזוג</w:t>
      </w:r>
      <w:r w:rsidRPr="00B72859">
        <w:rPr>
          <w:rFonts w:ascii="David" w:hAnsi="David" w:cs="David"/>
          <w:rtl/>
        </w:rPr>
        <w:t>, ובינם לבין הקהילה המיידית בה הם חיים. קהילה זו היא קהילת חבריהם ומשפחתם, כפי שרואים השניים לנכון, ללא כל זיהוי מוקדם. רובד זה אינו תלוי במדינה על כלל מוסדותיה והוא משקף בצורה הטהורה והישירה ביותר את רצונם של בני הזוג לבחור את סביבתם ואת זהותם בתוך סביבה זו.</w:t>
      </w:r>
    </w:p>
    <w:p w14:paraId="3AEBC3AC" w14:textId="77777777" w:rsidR="00605F2E" w:rsidRPr="00B72859" w:rsidRDefault="00605F2E" w:rsidP="00B72859">
      <w:pPr>
        <w:spacing w:before="240" w:line="360" w:lineRule="auto"/>
        <w:ind w:left="1440" w:right="851"/>
        <w:jc w:val="both"/>
        <w:rPr>
          <w:rFonts w:ascii="David" w:hAnsi="David" w:cs="David"/>
          <w:rtl/>
        </w:rPr>
      </w:pPr>
      <w:r w:rsidRPr="00B72859">
        <w:rPr>
          <w:rFonts w:ascii="David" w:hAnsi="David" w:cs="David"/>
          <w:b/>
          <w:bCs/>
          <w:rtl/>
        </w:rPr>
        <w:t>הרובד השני הוא הרובד החוזי-משפטי</w:t>
      </w:r>
      <w:r w:rsidRPr="00B72859">
        <w:rPr>
          <w:rFonts w:ascii="David" w:hAnsi="David" w:cs="David"/>
          <w:rtl/>
        </w:rPr>
        <w:t>. במסגרת זאת, מקים קשר הנישואין לבני הזוג זכויות וחובות האחד כלפי השני. כידוע, חלקה הארי של מערכת יחסים משפטית זו ניתן להסדרה אף שלא במסגרת נישואין, באמצעות חוזה ערוך כראוי. יתר על כן, אף ללא חוזה, יכול קשר של "ידועים בציבור" ליצור בין בני הזוג יחסים משפטיים הדומים בטיבם ליחסי הנישואין [...]. אמנם, ישנם תחומים מספר, בעיקר תחומים המושתתים על חקיקה מראשית ימיה של המדינה, המעוררים קושי בכל הנוגע לבני זוג שאינם נשואים, אך ככלל, כאמור, אין הכרח בכינון הנישואין בכדי לכונן את מערכת היחסית המשפטית האמורה.</w:t>
      </w:r>
    </w:p>
    <w:p w14:paraId="01BE63D9" w14:textId="145D8DE7" w:rsidR="00605F2E" w:rsidRPr="00B72859" w:rsidRDefault="00605F2E" w:rsidP="00B72859">
      <w:pPr>
        <w:spacing w:before="240" w:line="360" w:lineRule="auto"/>
        <w:ind w:left="1440" w:right="851"/>
        <w:jc w:val="both"/>
        <w:rPr>
          <w:rFonts w:ascii="David" w:hAnsi="David" w:cs="David"/>
          <w:rtl/>
        </w:rPr>
      </w:pPr>
      <w:r w:rsidRPr="00B72859">
        <w:rPr>
          <w:rFonts w:ascii="David" w:hAnsi="David" w:cs="David"/>
          <w:rtl/>
        </w:rPr>
        <w:t xml:space="preserve">יתר על כן, כינון מערכת יחסים זאת אפשרי אף במסגרת נישואין שלא בתחומי הארץ, על פי דין הלאום הנהוג באותה מדינה. זוגות רבים </w:t>
      </w:r>
      <w:r w:rsidRPr="00B72859">
        <w:rPr>
          <w:rFonts w:ascii="David" w:hAnsi="David" w:cs="David"/>
          <w:rtl/>
        </w:rPr>
        <w:lastRenderedPageBreak/>
        <w:t>נישאים שלא בישראל (בין אם מדובר בשני בני זוג מאותה הדת העושים זאת מרצונם, ובין אם מדובר במי שאינם יכולים להתחתן בישראל) ואלו זוכים לזכויות המשפטיות העומדות לזוג הנשוי [...]. כך הדבר לגבי פסולי חיתון (דוגמת כהן וגרושה), כך הדבר לגבי זוגות בהם בני הזוג אינם בני אותה הדת וכיוצא באלו, אשר נישואיהן מוכרים לצרכים משפטיים שונים אף אם אינם כשירים להינשא מבחינה מהותית על פי הדין הישראלי, דוגמת ירושה  [...] ואישור הסכמי ממון (ראו </w:t>
      </w:r>
      <w:hyperlink r:id="rId18" w:history="1">
        <w:r w:rsidRPr="00B72859">
          <w:rPr>
            <w:rFonts w:ascii="David" w:hAnsi="David" w:cs="David"/>
            <w:rtl/>
          </w:rPr>
          <w:t>תמ"ש (ת"א) 47720/06</w:t>
        </w:r>
      </w:hyperlink>
      <w:r w:rsidRPr="00B72859">
        <w:rPr>
          <w:rFonts w:ascii="David" w:hAnsi="David" w:cs="David"/>
          <w:rtl/>
        </w:rPr>
        <w:t> מ.ש.א  [פורסם בנבו] (20.12.2006)). </w:t>
      </w:r>
      <w:r w:rsidR="00D542CC">
        <w:rPr>
          <w:rFonts w:ascii="David" w:hAnsi="David" w:cs="David" w:hint="cs"/>
          <w:rtl/>
        </w:rPr>
        <w:t>..</w:t>
      </w:r>
    </w:p>
    <w:p w14:paraId="00091E74" w14:textId="77777777" w:rsidR="00605F2E" w:rsidRPr="00B72859" w:rsidRDefault="00605F2E" w:rsidP="00B72859">
      <w:pPr>
        <w:spacing w:before="240" w:line="360" w:lineRule="auto"/>
        <w:ind w:left="1440" w:right="851"/>
        <w:jc w:val="both"/>
        <w:rPr>
          <w:rFonts w:ascii="David" w:hAnsi="David" w:cs="David"/>
          <w:rtl/>
        </w:rPr>
      </w:pPr>
      <w:r w:rsidRPr="00B72859">
        <w:rPr>
          <w:rFonts w:ascii="David" w:hAnsi="David" w:cs="David"/>
          <w:rtl/>
        </w:rPr>
        <w:t xml:space="preserve">מדיניות זו, היא המשקפת את הרכיב האינדיבידואלי של יחסי הזוגיות. </w:t>
      </w:r>
      <w:r w:rsidRPr="00B72859">
        <w:rPr>
          <w:rFonts w:ascii="David" w:hAnsi="David" w:cs="David"/>
          <w:b/>
          <w:bCs/>
          <w:rtl/>
        </w:rPr>
        <w:t>את זכותו של האדם, הנובעת מכבודו, להיקשר באדם אחר, לא רק באופן הצהרתי כי אם גם באופן מעשי</w:t>
      </w:r>
      <w:r w:rsidRPr="00B72859">
        <w:rPr>
          <w:rFonts w:ascii="David" w:hAnsi="David" w:cs="David"/>
          <w:rtl/>
        </w:rPr>
        <w:t xml:space="preserve">. זכות זו, תלבושות רבות לה בהקשרים שונים, יש פעמים היא מתגלגלת בביטוי "הזכות לחיי משפחה" ויש שימצאוה בזכות ל"חופש חוזים" ועל זו גם זו אין הכרח להרבות בדברים, משאלו זכו לדיון נרחב ביותר בפסיקתו של בית משפט זה. בין אם כך ובין אם כך, </w:t>
      </w:r>
      <w:r w:rsidRPr="00B72859">
        <w:rPr>
          <w:rFonts w:ascii="David" w:hAnsi="David" w:cs="David"/>
          <w:b/>
          <w:bCs/>
          <w:u w:val="single"/>
          <w:rtl/>
        </w:rPr>
        <w:t>אדניה של הזכות הם ההכרה באוטונומיה של הפרט, ביכולתו לאהוב, ובזכותו להקנות לאחר מקום בחייו</w:t>
      </w:r>
      <w:r w:rsidRPr="00B72859">
        <w:rPr>
          <w:rFonts w:ascii="David" w:hAnsi="David" w:cs="David"/>
          <w:rtl/>
        </w:rPr>
        <w:t>.</w:t>
      </w:r>
    </w:p>
    <w:p w14:paraId="78E1F878" w14:textId="003729CE" w:rsidR="00605F2E" w:rsidRPr="00B72859" w:rsidRDefault="00605F2E" w:rsidP="00C566C2">
      <w:pPr>
        <w:spacing w:before="240" w:line="360" w:lineRule="auto"/>
        <w:ind w:left="1440" w:right="851"/>
        <w:jc w:val="both"/>
        <w:rPr>
          <w:rFonts w:ascii="David" w:hAnsi="David" w:cs="David"/>
          <w:rtl/>
        </w:rPr>
      </w:pPr>
      <w:r w:rsidRPr="00B72859">
        <w:rPr>
          <w:rFonts w:ascii="David" w:hAnsi="David" w:cs="David"/>
          <w:b/>
          <w:bCs/>
          <w:rtl/>
        </w:rPr>
        <w:t>הרובד השלישי</w:t>
      </w:r>
      <w:r w:rsidRPr="00B72859">
        <w:rPr>
          <w:rFonts w:ascii="David" w:hAnsi="David" w:cs="David"/>
          <w:rtl/>
        </w:rPr>
        <w:t xml:space="preserve"> הוא הרובד הסימבולי. רובד זה מצוי במישור של הקהילה הלאומית, התרבותית והדתית. הוא מושתת על ההכרה, כאמור לעיל, בכך שהמדינה אינה רק מסגרת עירומה בה פועלים אינדיבידואלים מנותקים זה מזה, כי אם מסגרת המכילה אינטראקציה אין סופית בין קהילות. קהילות אלו מושתתות על מסורות וערכים, ונבנות מפרקטיקות סימבוליות חוזרות ונשנות.</w:t>
      </w:r>
      <w:r w:rsidR="00C566C2">
        <w:rPr>
          <w:rFonts w:ascii="David" w:hAnsi="David" w:cs="David" w:hint="cs"/>
          <w:rtl/>
        </w:rPr>
        <w:t>..</w:t>
      </w:r>
      <w:r w:rsidRPr="00B72859">
        <w:rPr>
          <w:rFonts w:ascii="David" w:hAnsi="David" w:cs="David"/>
          <w:rtl/>
        </w:rPr>
        <w:t xml:space="preserve"> </w:t>
      </w:r>
    </w:p>
    <w:p w14:paraId="10060A81" w14:textId="4725FF6B" w:rsidR="00605F2E" w:rsidRPr="00B72859" w:rsidRDefault="00E80F9C" w:rsidP="00B72859">
      <w:pPr>
        <w:spacing w:before="240" w:line="360" w:lineRule="auto"/>
        <w:ind w:left="1440" w:right="851"/>
        <w:jc w:val="both"/>
        <w:rPr>
          <w:rFonts w:ascii="David" w:hAnsi="David" w:cs="David"/>
          <w:rtl/>
        </w:rPr>
      </w:pPr>
      <w:r>
        <w:rPr>
          <w:rFonts w:ascii="David" w:hAnsi="David" w:cs="David" w:hint="cs"/>
          <w:rtl/>
        </w:rPr>
        <w:t>ב</w:t>
      </w:r>
      <w:r w:rsidR="00605F2E" w:rsidRPr="00B72859">
        <w:rPr>
          <w:rFonts w:ascii="David" w:hAnsi="David" w:cs="David"/>
          <w:rtl/>
        </w:rPr>
        <w:t xml:space="preserve">תוך כך, הדין בעניין הסמכות הסימבולית הוא דין המעניק לרשות הדתית סמכות ייחודית, אינו מאפשר נזילות בין זהויות דתיות ותרבותיות, ואינו נותן בידי הפרט על שליטה על אופן עיצובו של הסדר זה. יחד עם זאת, כפי שפורט לעיל, </w:t>
      </w:r>
      <w:r w:rsidR="00605F2E" w:rsidRPr="00B72859">
        <w:rPr>
          <w:rFonts w:ascii="David" w:hAnsi="David" w:cs="David"/>
          <w:b/>
          <w:bCs/>
          <w:rtl/>
        </w:rPr>
        <w:t>הן המחוקק והן בתי המשפט בישראל העדיפו פעם אחר פעם פרשנות הוליסטית של הדין, המאפשרת קיומם של מוסדות זוגיות מקבילים למוסד הנישואין, על פני פרשנות בלעדנית, במסגרת יהיה כל הסדר חיצוני לנישואין הדתיים חסר תוקף משפטי.</w:t>
      </w:r>
      <w:r w:rsidR="00D542CC">
        <w:rPr>
          <w:rFonts w:ascii="David" w:hAnsi="David" w:cs="David" w:hint="cs"/>
          <w:rtl/>
        </w:rPr>
        <w:t>..</w:t>
      </w:r>
      <w:r w:rsidR="00605F2E" w:rsidRPr="00B72859">
        <w:rPr>
          <w:rFonts w:ascii="David" w:hAnsi="David" w:cs="David"/>
          <w:rtl/>
        </w:rPr>
        <w:t>"</w:t>
      </w:r>
      <w:r>
        <w:rPr>
          <w:rFonts w:ascii="David" w:hAnsi="David" w:cs="David" w:hint="cs"/>
          <w:rtl/>
        </w:rPr>
        <w:t xml:space="preserve"> (פסקאות 13- 19)</w:t>
      </w:r>
    </w:p>
    <w:p w14:paraId="02827477" w14:textId="1FA187F8" w:rsidR="00367E94" w:rsidRDefault="00367E94" w:rsidP="00A5473C">
      <w:pPr>
        <w:numPr>
          <w:ilvl w:val="0"/>
          <w:numId w:val="4"/>
        </w:numPr>
        <w:tabs>
          <w:tab w:val="num" w:pos="540"/>
        </w:tabs>
        <w:spacing w:before="240" w:line="360" w:lineRule="auto"/>
        <w:jc w:val="both"/>
        <w:rPr>
          <w:rFonts w:ascii="David" w:hAnsi="David" w:cs="David"/>
        </w:rPr>
      </w:pPr>
      <w:r>
        <w:rPr>
          <w:rFonts w:ascii="David" w:hAnsi="David" w:cs="David" w:hint="cs"/>
          <w:b/>
          <w:bCs/>
          <w:rtl/>
        </w:rPr>
        <w:t>לענייננו</w:t>
      </w:r>
      <w:r>
        <w:rPr>
          <w:rFonts w:ascii="David" w:hAnsi="David" w:cs="David" w:hint="cs"/>
          <w:rtl/>
        </w:rPr>
        <w:t xml:space="preserve"> </w:t>
      </w:r>
      <w:r>
        <w:rPr>
          <w:rFonts w:ascii="David" w:hAnsi="David" w:cs="David"/>
          <w:rtl/>
        </w:rPr>
        <w:t>–</w:t>
      </w:r>
      <w:r>
        <w:rPr>
          <w:rFonts w:ascii="David" w:hAnsi="David" w:cs="David" w:hint="cs"/>
          <w:rtl/>
        </w:rPr>
        <w:t xml:space="preserve"> אין ספק כי על מנת ליצור את סטטוס הנישואין</w:t>
      </w:r>
      <w:r w:rsidR="00A5473C">
        <w:rPr>
          <w:rFonts w:ascii="David" w:hAnsi="David" w:cs="David" w:hint="cs"/>
          <w:rtl/>
        </w:rPr>
        <w:t xml:space="preserve"> על פי הדין במדינת ישראל</w:t>
      </w:r>
      <w:r>
        <w:rPr>
          <w:rFonts w:ascii="David" w:hAnsi="David" w:cs="David" w:hint="cs"/>
          <w:rtl/>
        </w:rPr>
        <w:t xml:space="preserve">, לא נדרש זוג לטקס באתר ציבורי ובמימון ציבורי. כל שבני הזוג </w:t>
      </w:r>
      <w:r w:rsidR="00D542CC">
        <w:rPr>
          <w:rFonts w:ascii="David" w:hAnsi="David" w:cs="David" w:hint="cs"/>
          <w:rtl/>
        </w:rPr>
        <w:t xml:space="preserve">- </w:t>
      </w:r>
      <w:r>
        <w:rPr>
          <w:rFonts w:ascii="David" w:hAnsi="David" w:cs="David" w:hint="cs"/>
          <w:rtl/>
        </w:rPr>
        <w:t xml:space="preserve">המעוניינים בכך </w:t>
      </w:r>
      <w:r w:rsidR="00D542CC">
        <w:rPr>
          <w:rFonts w:ascii="David" w:hAnsi="David" w:cs="David" w:hint="cs"/>
          <w:rtl/>
        </w:rPr>
        <w:t xml:space="preserve">ואשר יכולים לעשות כן מבחינת הדין האישי -  </w:t>
      </w:r>
      <w:r>
        <w:rPr>
          <w:rFonts w:ascii="David" w:hAnsi="David" w:cs="David" w:hint="cs"/>
          <w:rtl/>
        </w:rPr>
        <w:t>נדרשים לעשות הוא לגשת לרבנות בקרבת מקום מגוריהם ולהירשם כנשואים, בלווי</w:t>
      </w:r>
      <w:r w:rsidR="00D41869">
        <w:rPr>
          <w:rFonts w:ascii="David" w:hAnsi="David" w:cs="David" w:hint="cs"/>
          <w:rtl/>
        </w:rPr>
        <w:t>י</w:t>
      </w:r>
      <w:r>
        <w:rPr>
          <w:rFonts w:ascii="David" w:hAnsi="David" w:cs="David" w:hint="cs"/>
          <w:rtl/>
        </w:rPr>
        <w:t xml:space="preserve">ת שני עדים. </w:t>
      </w:r>
    </w:p>
    <w:p w14:paraId="39653CAE" w14:textId="74831D1A" w:rsidR="00367E94" w:rsidRDefault="00367E94" w:rsidP="00605F2E">
      <w:pPr>
        <w:numPr>
          <w:ilvl w:val="0"/>
          <w:numId w:val="4"/>
        </w:numPr>
        <w:tabs>
          <w:tab w:val="num" w:pos="540"/>
        </w:tabs>
        <w:spacing w:before="240" w:line="360" w:lineRule="auto"/>
        <w:jc w:val="both"/>
        <w:rPr>
          <w:rFonts w:ascii="David" w:hAnsi="David" w:cs="David"/>
        </w:rPr>
      </w:pPr>
      <w:r>
        <w:rPr>
          <w:rFonts w:ascii="David" w:hAnsi="David" w:cs="David" w:hint="cs"/>
          <w:rtl/>
        </w:rPr>
        <w:t xml:space="preserve">טקס הנישואין, והמסיבה (המצומצמת) הנערכים, הם טקסים ללא מעמד משפטי, המשקפים את הרצון של בני הזוג למסד את הזוגיות ולהביא את מחויבותם בפני קהילתם הקרובה </w:t>
      </w:r>
      <w:r>
        <w:rPr>
          <w:rFonts w:ascii="David" w:hAnsi="David" w:cs="David" w:hint="cs"/>
          <w:rtl/>
        </w:rPr>
        <w:lastRenderedPageBreak/>
        <w:t>והמי</w:t>
      </w:r>
      <w:r w:rsidR="00D542CC">
        <w:rPr>
          <w:rFonts w:ascii="David" w:hAnsi="David" w:cs="David" w:hint="cs"/>
          <w:rtl/>
        </w:rPr>
        <w:t>י</w:t>
      </w:r>
      <w:r>
        <w:rPr>
          <w:rFonts w:ascii="David" w:hAnsi="David" w:cs="David" w:hint="cs"/>
          <w:rtl/>
        </w:rPr>
        <w:t>דית.</w:t>
      </w:r>
      <w:r w:rsidR="00D542CC">
        <w:rPr>
          <w:rFonts w:ascii="David" w:hAnsi="David" w:cs="David" w:hint="cs"/>
          <w:rtl/>
        </w:rPr>
        <w:t xml:space="preserve"> במסגרת המיזם, מבקשת המשיבה להעמיד לרשות הציבור את שטחיה הציבוריים כדי לערוך את ארוע הנישואים ומבחינה זו יש להפריד בין שאלת רישום הנישואים לשאלת הזכות להינות מההטבה הכלכלית שמציעה המשיבה. </w:t>
      </w:r>
    </w:p>
    <w:p w14:paraId="30091452" w14:textId="1A4F8722" w:rsidR="00367E94" w:rsidRPr="00B72859" w:rsidRDefault="00725036" w:rsidP="00B72859">
      <w:pPr>
        <w:numPr>
          <w:ilvl w:val="0"/>
          <w:numId w:val="4"/>
        </w:numPr>
        <w:tabs>
          <w:tab w:val="num" w:pos="540"/>
        </w:tabs>
        <w:spacing w:before="240" w:line="360" w:lineRule="auto"/>
        <w:jc w:val="both"/>
        <w:rPr>
          <w:rFonts w:ascii="David" w:hAnsi="David" w:cs="David"/>
          <w:rtl/>
        </w:rPr>
      </w:pPr>
      <w:r>
        <w:rPr>
          <w:rFonts w:ascii="David" w:hAnsi="David" w:cs="David" w:hint="cs"/>
          <w:rtl/>
        </w:rPr>
        <w:t xml:space="preserve">ההטבה שהמשיבה מעוניינת להעניק לבני הזוג, של מימון אירוע הנישואין, היא בדיוק זכות כלכלית שניתנת לצורך מיסוד הזוגיות, וכפי שנפסק בהלכת </w:t>
      </w:r>
      <w:r>
        <w:rPr>
          <w:rFonts w:ascii="David" w:hAnsi="David" w:cs="David" w:hint="cs"/>
          <w:b/>
          <w:bCs/>
          <w:rtl/>
        </w:rPr>
        <w:t>פלונית</w:t>
      </w:r>
      <w:r>
        <w:rPr>
          <w:rFonts w:ascii="David" w:hAnsi="David" w:cs="David" w:hint="cs"/>
          <w:rtl/>
        </w:rPr>
        <w:t xml:space="preserve">, משבחרה המשיבה לתת לבני זוג המעוניינים למסד את הזוגיות זכות שכזו, עליה לתת אותה לכלל בני הזוג המעוניינים להגשים את זכותם לאוטונומיה ולכבוד ולערוך טקס לכינון הזוגיות שלהם. </w:t>
      </w:r>
    </w:p>
    <w:p w14:paraId="4002B103" w14:textId="77777777" w:rsidR="00E1756F" w:rsidRDefault="00E1756F" w:rsidP="00631C32">
      <w:pPr>
        <w:pStyle w:val="a3"/>
        <w:rPr>
          <w:rFonts w:ascii="David" w:hAnsi="David" w:cs="David"/>
          <w:rtl/>
        </w:rPr>
      </w:pPr>
    </w:p>
    <w:p w14:paraId="3E8C52D2" w14:textId="77777777" w:rsidR="001E585F" w:rsidRPr="001437AE" w:rsidRDefault="001E585F" w:rsidP="001E585F">
      <w:pPr>
        <w:rPr>
          <w:rFonts w:ascii="David" w:hAnsi="David" w:cs="David"/>
          <w:b/>
          <w:bCs/>
          <w:u w:val="single"/>
          <w:rtl/>
        </w:rPr>
      </w:pPr>
      <w:r w:rsidRPr="001437AE">
        <w:rPr>
          <w:rFonts w:ascii="David" w:hAnsi="David" w:cs="David" w:hint="cs"/>
          <w:b/>
          <w:bCs/>
          <w:u w:val="single"/>
          <w:rtl/>
        </w:rPr>
        <w:t>הכרת המדינה בזוגות ידועים בציבור ובזוגות להט"ב</w:t>
      </w:r>
    </w:p>
    <w:p w14:paraId="28520C65" w14:textId="30171C11" w:rsidR="001E585F" w:rsidRPr="0091232C" w:rsidRDefault="001E585F" w:rsidP="001E585F">
      <w:pPr>
        <w:pStyle w:val="a3"/>
        <w:numPr>
          <w:ilvl w:val="0"/>
          <w:numId w:val="4"/>
        </w:numPr>
        <w:tabs>
          <w:tab w:val="num" w:pos="540"/>
        </w:tabs>
        <w:autoSpaceDE/>
        <w:autoSpaceDN/>
        <w:spacing w:before="240" w:line="360" w:lineRule="auto"/>
        <w:jc w:val="both"/>
        <w:rPr>
          <w:rFonts w:ascii="David" w:hAnsi="David" w:cs="David"/>
          <w:b/>
          <w:bCs/>
          <w:u w:val="single"/>
        </w:rPr>
      </w:pPr>
      <w:r>
        <w:rPr>
          <w:rFonts w:cs="David" w:hint="cs"/>
          <w:rtl/>
        </w:rPr>
        <w:t xml:space="preserve"> כפי שצוין בענין </w:t>
      </w:r>
      <w:r>
        <w:rPr>
          <w:rFonts w:cs="David" w:hint="cs"/>
          <w:b/>
          <w:bCs/>
          <w:rtl/>
        </w:rPr>
        <w:t>פלונית</w:t>
      </w:r>
      <w:r>
        <w:rPr>
          <w:rFonts w:cs="David" w:hint="cs"/>
          <w:rtl/>
        </w:rPr>
        <w:t xml:space="preserve">, אף זוגות הנישאים מחוץ לרבנות </w:t>
      </w:r>
      <w:r>
        <w:rPr>
          <w:rFonts w:cs="David"/>
          <w:rtl/>
        </w:rPr>
        <w:t>–</w:t>
      </w:r>
      <w:r>
        <w:rPr>
          <w:rFonts w:cs="David" w:hint="cs"/>
          <w:rtl/>
        </w:rPr>
        <w:t xml:space="preserve"> בין זוגות הטרוסקסואליים ובין זוגות להט"ב </w:t>
      </w:r>
      <w:r>
        <w:rPr>
          <w:rFonts w:cs="David"/>
          <w:rtl/>
        </w:rPr>
        <w:t>–</w:t>
      </w:r>
      <w:r>
        <w:rPr>
          <w:rFonts w:cs="David" w:hint="cs"/>
          <w:rtl/>
        </w:rPr>
        <w:t xml:space="preserve"> זוכים להכרה נרחבת במשפט הישראלי. </w:t>
      </w:r>
    </w:p>
    <w:p w14:paraId="6EB24AD1" w14:textId="77777777" w:rsidR="001E585F" w:rsidRPr="00004A96" w:rsidRDefault="001E585F" w:rsidP="001E585F">
      <w:pPr>
        <w:pStyle w:val="a3"/>
        <w:tabs>
          <w:tab w:val="num" w:pos="540"/>
        </w:tabs>
        <w:autoSpaceDE/>
        <w:autoSpaceDN/>
        <w:spacing w:before="240" w:line="360" w:lineRule="auto"/>
        <w:ind w:left="510"/>
        <w:jc w:val="both"/>
        <w:rPr>
          <w:rFonts w:ascii="David" w:hAnsi="David" w:cs="David"/>
          <w:b/>
          <w:bCs/>
          <w:u w:val="single"/>
        </w:rPr>
      </w:pPr>
      <w:r>
        <w:rPr>
          <w:rFonts w:cs="David" w:hint="cs"/>
          <w:rtl/>
        </w:rPr>
        <w:t xml:space="preserve"> </w:t>
      </w:r>
    </w:p>
    <w:p w14:paraId="48ED22BF" w14:textId="77777777" w:rsidR="001E585F" w:rsidRDefault="001E585F" w:rsidP="001E585F">
      <w:pPr>
        <w:pStyle w:val="a3"/>
        <w:numPr>
          <w:ilvl w:val="0"/>
          <w:numId w:val="4"/>
        </w:numPr>
        <w:tabs>
          <w:tab w:val="num" w:pos="540"/>
        </w:tabs>
        <w:autoSpaceDE/>
        <w:autoSpaceDN/>
        <w:spacing w:before="240" w:line="360" w:lineRule="auto"/>
        <w:jc w:val="both"/>
        <w:rPr>
          <w:rFonts w:cs="David"/>
        </w:rPr>
      </w:pPr>
      <w:r w:rsidRPr="009B5016">
        <w:rPr>
          <w:rFonts w:cs="David" w:hint="cs"/>
          <w:rtl/>
        </w:rPr>
        <w:t>ישראל היא המדינה היחידה מבין ארצות המערב שאינה מאפשרת נישואין אזרחיים. על כן</w:t>
      </w:r>
      <w:r>
        <w:rPr>
          <w:rFonts w:cs="David" w:hint="cs"/>
          <w:rtl/>
        </w:rPr>
        <w:t>,</w:t>
      </w:r>
      <w:r w:rsidRPr="009B5016">
        <w:rPr>
          <w:rFonts w:cs="David" w:hint="cs"/>
          <w:rtl/>
        </w:rPr>
        <w:t xml:space="preserve"> בני זוג החפצים להינשא או להתגרש חייבים לעשות זאת בטקס דתי </w:t>
      </w:r>
      <w:r>
        <w:rPr>
          <w:rFonts w:cs="David" w:hint="cs"/>
          <w:rtl/>
        </w:rPr>
        <w:t xml:space="preserve">אורתודוכסי </w:t>
      </w:r>
      <w:r w:rsidRPr="009B5016">
        <w:rPr>
          <w:rFonts w:cs="David" w:hint="cs"/>
          <w:rtl/>
        </w:rPr>
        <w:t>גם אם הם חילוניים. בעיה חריפה במיוחד ניצבת בפני זוגו</w:t>
      </w:r>
      <w:r>
        <w:rPr>
          <w:rFonts w:cs="David" w:hint="cs"/>
          <w:rtl/>
        </w:rPr>
        <w:t>ת שאינם יכולים להתחתן על פי הדי</w:t>
      </w:r>
      <w:r w:rsidRPr="009B5016">
        <w:rPr>
          <w:rFonts w:cs="David" w:hint="cs"/>
          <w:rtl/>
        </w:rPr>
        <w:t xml:space="preserve">ן הנוהג, זוגות </w:t>
      </w:r>
      <w:r>
        <w:rPr>
          <w:rFonts w:cs="David" w:hint="cs"/>
          <w:rtl/>
        </w:rPr>
        <w:t>בני אותו המין</w:t>
      </w:r>
      <w:r w:rsidRPr="009B5016">
        <w:rPr>
          <w:rFonts w:cs="David" w:hint="cs"/>
          <w:rtl/>
        </w:rPr>
        <w:t>, זוגות מעורבים (בעלי דתות שונות), חסרי דת מוכרת ופסולי חיתון נוספים לפי הדין הדתי (במקרה של יהודים דוגמא נפוצה היא נישואי כהן וגרושה). המשפט במדינת ישראל אינו נותן לזוגות הללו שום אפשרות רשמית להינשא.</w:t>
      </w:r>
      <w:r>
        <w:rPr>
          <w:rFonts w:cs="David" w:hint="cs"/>
          <w:rtl/>
        </w:rPr>
        <w:t xml:space="preserve"> על רקע זה, החיים כידועים בציבור הם לעיתים הכרח המציאות ופעמים אחרות הם </w:t>
      </w:r>
      <w:r w:rsidRPr="009B5016">
        <w:rPr>
          <w:rFonts w:cs="David" w:hint="cs"/>
          <w:rtl/>
        </w:rPr>
        <w:t xml:space="preserve">משקפים </w:t>
      </w:r>
      <w:r>
        <w:rPr>
          <w:rFonts w:cs="David" w:hint="cs"/>
          <w:rtl/>
        </w:rPr>
        <w:t>בחירה אידיאולוגית</w:t>
      </w:r>
      <w:r w:rsidRPr="009B5016">
        <w:rPr>
          <w:rFonts w:cs="David" w:hint="cs"/>
          <w:rtl/>
        </w:rPr>
        <w:t xml:space="preserve">. </w:t>
      </w:r>
      <w:r>
        <w:rPr>
          <w:rFonts w:cs="David" w:hint="cs"/>
          <w:rtl/>
        </w:rPr>
        <w:t xml:space="preserve">הדין </w:t>
      </w:r>
      <w:r w:rsidRPr="009B5016">
        <w:rPr>
          <w:rFonts w:cs="David" w:hint="cs"/>
          <w:rtl/>
        </w:rPr>
        <w:t>בישראל</w:t>
      </w:r>
      <w:r>
        <w:rPr>
          <w:rFonts w:cs="David" w:hint="cs"/>
          <w:rtl/>
        </w:rPr>
        <w:t>, הן בחקיקה והן בפסיקה,</w:t>
      </w:r>
      <w:r w:rsidRPr="009B5016">
        <w:rPr>
          <w:rFonts w:cs="David" w:hint="cs"/>
          <w:rtl/>
        </w:rPr>
        <w:t xml:space="preserve"> </w:t>
      </w:r>
      <w:r>
        <w:rPr>
          <w:rFonts w:cs="David" w:hint="cs"/>
          <w:rtl/>
        </w:rPr>
        <w:t>הפך הלכה למעשה את הידועים בציבור ל</w:t>
      </w:r>
      <w:r w:rsidRPr="009B5016">
        <w:rPr>
          <w:rFonts w:cs="David" w:hint="cs"/>
          <w:rtl/>
        </w:rPr>
        <w:t xml:space="preserve">סוג מסוים של נישואין חילוניים למי שאינו יכול או אינו רוצה להינשא </w:t>
      </w:r>
      <w:r>
        <w:rPr>
          <w:rFonts w:cs="David" w:hint="cs"/>
          <w:rtl/>
        </w:rPr>
        <w:t>ב</w:t>
      </w:r>
      <w:r w:rsidRPr="009B5016">
        <w:rPr>
          <w:rFonts w:cs="David" w:hint="cs"/>
          <w:rtl/>
        </w:rPr>
        <w:t xml:space="preserve">נישואים דתיים. המשפט האזרחי </w:t>
      </w:r>
      <w:r>
        <w:rPr>
          <w:rFonts w:cs="David" w:hint="cs"/>
          <w:rtl/>
        </w:rPr>
        <w:t xml:space="preserve">יצר כלים שמקנים זכויות </w:t>
      </w:r>
      <w:r w:rsidRPr="009B5016">
        <w:rPr>
          <w:rFonts w:cs="David" w:hint="cs"/>
          <w:rtl/>
        </w:rPr>
        <w:t xml:space="preserve">לאלה שבחרו או נאלצו לבחור בסוג זה של זוגיות. </w:t>
      </w:r>
    </w:p>
    <w:p w14:paraId="4C5AC5BD" w14:textId="77777777" w:rsidR="001E585F" w:rsidRPr="009B5016" w:rsidRDefault="001E585F" w:rsidP="001E585F">
      <w:pPr>
        <w:pStyle w:val="a3"/>
        <w:spacing w:after="120" w:line="360" w:lineRule="auto"/>
        <w:ind w:left="360" w:right="-426"/>
        <w:jc w:val="both"/>
        <w:rPr>
          <w:rFonts w:cs="David"/>
          <w:rtl/>
        </w:rPr>
      </w:pPr>
    </w:p>
    <w:p w14:paraId="5160C105" w14:textId="77777777" w:rsidR="001E585F" w:rsidRDefault="001E585F" w:rsidP="001E585F">
      <w:pPr>
        <w:pStyle w:val="a3"/>
        <w:numPr>
          <w:ilvl w:val="0"/>
          <w:numId w:val="4"/>
        </w:numPr>
        <w:tabs>
          <w:tab w:val="num" w:pos="540"/>
        </w:tabs>
        <w:autoSpaceDE/>
        <w:autoSpaceDN/>
        <w:spacing w:before="240" w:line="360" w:lineRule="auto"/>
        <w:jc w:val="both"/>
        <w:rPr>
          <w:rFonts w:cs="David"/>
        </w:rPr>
      </w:pPr>
      <w:r w:rsidRPr="005B7D9D">
        <w:rPr>
          <w:rFonts w:cs="David" w:hint="cs"/>
          <w:rtl/>
        </w:rPr>
        <w:t xml:space="preserve">כך, </w:t>
      </w:r>
      <w:r w:rsidRPr="005B7D9D">
        <w:rPr>
          <w:rFonts w:cs="David" w:hint="cs"/>
          <w:b/>
          <w:bCs/>
          <w:rtl/>
        </w:rPr>
        <w:t>שורה של חוקים</w:t>
      </w:r>
      <w:r w:rsidRPr="005B7D9D">
        <w:rPr>
          <w:rFonts w:cs="David" w:hint="cs"/>
          <w:rtl/>
        </w:rPr>
        <w:t xml:space="preserve"> מעניקים זכויות דומות לזוגות ידועים בציבור ולזוגות נשואים </w:t>
      </w:r>
      <w:r>
        <w:rPr>
          <w:rFonts w:cs="David"/>
          <w:rtl/>
        </w:rPr>
        <w:t>–</w:t>
      </w:r>
      <w:r>
        <w:rPr>
          <w:rFonts w:cs="David" w:hint="cs"/>
          <w:rtl/>
        </w:rPr>
        <w:t xml:space="preserve"> ראו למשל</w:t>
      </w:r>
      <w:r w:rsidRPr="005B7D9D">
        <w:rPr>
          <w:rFonts w:cs="David" w:hint="cs"/>
          <w:rtl/>
        </w:rPr>
        <w:t xml:space="preserve"> חוק הירושה, תשכ"ה </w:t>
      </w:r>
      <w:r w:rsidRPr="005B7D9D">
        <w:rPr>
          <w:rFonts w:cs="David"/>
          <w:rtl/>
        </w:rPr>
        <w:t>–</w:t>
      </w:r>
      <w:r w:rsidRPr="005B7D9D">
        <w:rPr>
          <w:rFonts w:cs="David" w:hint="cs"/>
          <w:rtl/>
        </w:rPr>
        <w:t xml:space="preserve"> 1965, חוק הביטוח הלאומי, תשמ"ח </w:t>
      </w:r>
      <w:r w:rsidRPr="005B7D9D">
        <w:rPr>
          <w:rFonts w:cs="David"/>
          <w:rtl/>
        </w:rPr>
        <w:t>–</w:t>
      </w:r>
      <w:r w:rsidRPr="005B7D9D">
        <w:rPr>
          <w:rFonts w:cs="David" w:hint="cs"/>
          <w:rtl/>
        </w:rPr>
        <w:t xml:space="preserve"> 1985, </w:t>
      </w:r>
      <w:r w:rsidRPr="005B7D9D">
        <w:rPr>
          <w:rFonts w:cs="David"/>
          <w:rtl/>
        </w:rPr>
        <w:t>חוק מיסוי מקרקעין (שבח ורכישה), תשכ"ג-1963</w:t>
      </w:r>
      <w:r w:rsidRPr="005B7D9D">
        <w:rPr>
          <w:rFonts w:cs="David" w:hint="cs"/>
          <w:rtl/>
        </w:rPr>
        <w:t>, חוק השמות, תשט"ז- 1956, חוק משפחות חיילים שנספו במערכה (תגמולים ושיקום) תשי"ג- 1953,  חוק שירות הקבע בצבא הגנה לישראל (גמלאות)</w:t>
      </w:r>
      <w:r w:rsidRPr="005B7D9D">
        <w:rPr>
          <w:rFonts w:cs="David"/>
          <w:rtl/>
        </w:rPr>
        <w:t xml:space="preserve"> [</w:t>
      </w:r>
      <w:r w:rsidRPr="005B7D9D">
        <w:rPr>
          <w:rFonts w:cs="David" w:hint="cs"/>
          <w:rtl/>
        </w:rPr>
        <w:t>נוסח</w:t>
      </w:r>
      <w:r w:rsidRPr="005B7D9D">
        <w:rPr>
          <w:rFonts w:cs="David"/>
          <w:rtl/>
        </w:rPr>
        <w:t xml:space="preserve"> </w:t>
      </w:r>
      <w:r w:rsidRPr="005B7D9D">
        <w:rPr>
          <w:rFonts w:cs="David" w:hint="cs"/>
          <w:rtl/>
        </w:rPr>
        <w:t>משולב</w:t>
      </w:r>
      <w:r w:rsidRPr="005B7D9D">
        <w:rPr>
          <w:rFonts w:cs="David"/>
          <w:rtl/>
        </w:rPr>
        <w:t xml:space="preserve">], </w:t>
      </w:r>
      <w:r w:rsidRPr="005B7D9D">
        <w:rPr>
          <w:rFonts w:cs="David" w:hint="cs"/>
          <w:rtl/>
        </w:rPr>
        <w:t>תשמ</w:t>
      </w:r>
      <w:r w:rsidRPr="005B7D9D">
        <w:rPr>
          <w:rFonts w:cs="David"/>
          <w:rtl/>
        </w:rPr>
        <w:t>"</w:t>
      </w:r>
      <w:r w:rsidRPr="005B7D9D">
        <w:rPr>
          <w:rFonts w:cs="David" w:hint="cs"/>
          <w:rtl/>
        </w:rPr>
        <w:t>ה</w:t>
      </w:r>
      <w:r w:rsidRPr="005B7D9D">
        <w:rPr>
          <w:rFonts w:cs="David"/>
          <w:rtl/>
        </w:rPr>
        <w:t xml:space="preserve"> – 1985</w:t>
      </w:r>
      <w:r w:rsidRPr="005B7D9D">
        <w:rPr>
          <w:rFonts w:cs="David" w:hint="cs"/>
          <w:rtl/>
        </w:rPr>
        <w:t xml:space="preserve">, חוק שירות המדינה (גמלאות) [נוסח משולב], תש"ל- 1970, חוק פיצויי פיטורים, תשכ"ג- 1963, חוק למניעת אלימות במשפחה, תשנ"א -1991, חוק הגנת הדייר, תשל"ב </w:t>
      </w:r>
      <w:r w:rsidRPr="005B7D9D">
        <w:rPr>
          <w:rFonts w:cs="David"/>
          <w:rtl/>
        </w:rPr>
        <w:t>–</w:t>
      </w:r>
      <w:r>
        <w:rPr>
          <w:rFonts w:cs="David" w:hint="cs"/>
          <w:rtl/>
        </w:rPr>
        <w:t xml:space="preserve"> 1972.</w:t>
      </w:r>
    </w:p>
    <w:p w14:paraId="07D9C319" w14:textId="77777777" w:rsidR="001E585F" w:rsidRPr="00954FBE" w:rsidRDefault="001E585F" w:rsidP="001E585F">
      <w:pPr>
        <w:pStyle w:val="a3"/>
        <w:rPr>
          <w:rFonts w:cs="David"/>
          <w:rtl/>
        </w:rPr>
      </w:pPr>
    </w:p>
    <w:p w14:paraId="481E473C" w14:textId="028C2FC7" w:rsidR="001E585F" w:rsidRPr="00A5473C" w:rsidRDefault="001E585F" w:rsidP="00A5473C">
      <w:pPr>
        <w:pStyle w:val="a3"/>
        <w:numPr>
          <w:ilvl w:val="0"/>
          <w:numId w:val="4"/>
        </w:numPr>
        <w:tabs>
          <w:tab w:val="num" w:pos="540"/>
        </w:tabs>
        <w:autoSpaceDE/>
        <w:autoSpaceDN/>
        <w:spacing w:before="240" w:line="360" w:lineRule="auto"/>
        <w:jc w:val="both"/>
        <w:rPr>
          <w:rFonts w:cs="David"/>
        </w:rPr>
      </w:pPr>
      <w:r w:rsidRPr="00A5473C">
        <w:rPr>
          <w:rFonts w:cs="David" w:hint="cs"/>
          <w:rtl/>
        </w:rPr>
        <w:t xml:space="preserve">אף מגמת </w:t>
      </w:r>
      <w:r w:rsidRPr="00A5473C">
        <w:rPr>
          <w:rFonts w:cs="David" w:hint="cs"/>
          <w:b/>
          <w:bCs/>
          <w:rtl/>
        </w:rPr>
        <w:t>הפסיקה</w:t>
      </w:r>
      <w:r w:rsidRPr="00A5473C">
        <w:rPr>
          <w:rFonts w:cs="David" w:hint="cs"/>
          <w:rtl/>
        </w:rPr>
        <w:t xml:space="preserve"> היא להשוות את זכויותיהם של ידועים בציבור לאלה של בני זוג נשואים</w:t>
      </w:r>
      <w:r w:rsidR="00234244" w:rsidRPr="00A5473C">
        <w:rPr>
          <w:rFonts w:cs="David" w:hint="cs"/>
          <w:rtl/>
        </w:rPr>
        <w:t>, מתוך ה</w:t>
      </w:r>
      <w:r w:rsidR="00234244" w:rsidRPr="00A5473C">
        <w:rPr>
          <w:rFonts w:ascii="David" w:hAnsi="David" w:cs="David" w:hint="cs"/>
          <w:rtl/>
        </w:rPr>
        <w:t>תפיסה, שעל פיה לשאלת האפשרות, או הרצון, להינשא במוסד דתי, אין נפקות לעניין זכויות וחובות של בני הזוג</w:t>
      </w:r>
      <w:r w:rsidRPr="00A5473C">
        <w:rPr>
          <w:rFonts w:cs="David" w:hint="cs"/>
          <w:rtl/>
        </w:rPr>
        <w:t xml:space="preserve">: ראו, למשל, ע"א 2000/97 </w:t>
      </w:r>
      <w:r w:rsidRPr="00A5473C">
        <w:rPr>
          <w:rFonts w:cs="David" w:hint="cs"/>
          <w:b/>
          <w:bCs/>
          <w:rtl/>
        </w:rPr>
        <w:t>לינדורן נ' קרנית הקרן לפיצוי נפגעים</w:t>
      </w:r>
      <w:r w:rsidRPr="00A5473C">
        <w:rPr>
          <w:rFonts w:cs="David" w:hint="cs"/>
          <w:rtl/>
        </w:rPr>
        <w:t xml:space="preserve"> (פיצוי נזיקי לידועה בציבור של נפגע בתאונת עבודה), ע"א 2622/01 </w:t>
      </w:r>
      <w:r w:rsidRPr="00A5473C">
        <w:rPr>
          <w:rFonts w:cs="David" w:hint="cs"/>
          <w:b/>
          <w:bCs/>
          <w:rtl/>
        </w:rPr>
        <w:t>מנהל מס שבח מקרקעין נ' עליזה</w:t>
      </w:r>
      <w:r w:rsidRPr="00A5473C">
        <w:rPr>
          <w:rFonts w:cs="David" w:hint="cs"/>
          <w:rtl/>
        </w:rPr>
        <w:t xml:space="preserve"> </w:t>
      </w:r>
      <w:r w:rsidRPr="00A5473C">
        <w:rPr>
          <w:rFonts w:cs="David" w:hint="cs"/>
          <w:b/>
          <w:bCs/>
          <w:rtl/>
        </w:rPr>
        <w:t>לבנון</w:t>
      </w:r>
      <w:r w:rsidRPr="00A5473C">
        <w:rPr>
          <w:rFonts w:cs="David" w:hint="cs"/>
          <w:rtl/>
        </w:rPr>
        <w:t xml:space="preserve">, נז (5) 309 (פטור מס שבח), ע"א 1165/01 </w:t>
      </w:r>
      <w:r w:rsidRPr="00A5473C">
        <w:rPr>
          <w:rFonts w:cs="David" w:hint="cs"/>
          <w:b/>
          <w:bCs/>
          <w:rtl/>
        </w:rPr>
        <w:t xml:space="preserve">פלונית נ' היועץ המשפטי לממשלה, </w:t>
      </w:r>
      <w:r w:rsidRPr="00A5473C">
        <w:rPr>
          <w:rFonts w:cs="David" w:hint="cs"/>
          <w:rtl/>
        </w:rPr>
        <w:t xml:space="preserve">פ"ד נז(1) 169 (אימוץ), </w:t>
      </w:r>
      <w:r w:rsidRPr="00A5473C">
        <w:rPr>
          <w:rFonts w:ascii="David" w:hAnsi="David" w:cs="David"/>
          <w:rtl/>
        </w:rPr>
        <w:t>בג"ץ 5492/07 </w:t>
      </w:r>
      <w:r w:rsidRPr="00A5473C">
        <w:rPr>
          <w:rFonts w:ascii="David" w:hAnsi="David" w:cs="David"/>
          <w:b/>
          <w:bCs/>
          <w:rtl/>
        </w:rPr>
        <w:t>בוארון נ' בית הדין הארצי לעבודה</w:t>
      </w:r>
      <w:r w:rsidR="00025186" w:rsidRPr="00A5473C">
        <w:rPr>
          <w:rFonts w:ascii="David" w:hAnsi="David" w:cs="David"/>
          <w:rtl/>
        </w:rPr>
        <w:t>, פ''ד סד(2) 166</w:t>
      </w:r>
      <w:r w:rsidR="00025186" w:rsidRPr="00A5473C">
        <w:rPr>
          <w:rFonts w:ascii="David" w:hAnsi="David" w:cs="David" w:hint="cs"/>
          <w:rtl/>
        </w:rPr>
        <w:t xml:space="preserve"> (הכרה בידועה בציבור לצורך חוק הביטוח הלאומי); </w:t>
      </w:r>
      <w:r w:rsidRPr="00A5473C">
        <w:rPr>
          <w:rFonts w:ascii="David" w:hAnsi="David" w:cs="David" w:hint="cs"/>
          <w:rtl/>
        </w:rPr>
        <w:t xml:space="preserve"> </w:t>
      </w:r>
      <w:r w:rsidR="00025186" w:rsidRPr="00A5473C">
        <w:rPr>
          <w:rFonts w:ascii="David" w:hAnsi="David" w:cs="David"/>
          <w:rtl/>
        </w:rPr>
        <w:t>ע</w:t>
      </w:r>
      <w:r w:rsidR="00025186" w:rsidRPr="00A5473C">
        <w:rPr>
          <w:rFonts w:ascii="David" w:hAnsi="David" w:cs="David" w:hint="cs"/>
          <w:rtl/>
        </w:rPr>
        <w:t>"</w:t>
      </w:r>
      <w:r w:rsidR="00025186" w:rsidRPr="00A5473C">
        <w:rPr>
          <w:rFonts w:ascii="David" w:hAnsi="David" w:cs="David"/>
          <w:rtl/>
        </w:rPr>
        <w:t>ר (נצ') 32790-11-16 </w:t>
      </w:r>
      <w:r w:rsidR="00025186" w:rsidRPr="00A5473C">
        <w:rPr>
          <w:rFonts w:ascii="David" w:hAnsi="David" w:cs="David"/>
          <w:b/>
          <w:bCs/>
          <w:rtl/>
        </w:rPr>
        <w:t xml:space="preserve">אינדקס הגליל </w:t>
      </w:r>
      <w:r w:rsidR="00025186" w:rsidRPr="00A5473C">
        <w:rPr>
          <w:rFonts w:ascii="David" w:hAnsi="David" w:cs="David"/>
          <w:b/>
          <w:bCs/>
          <w:rtl/>
        </w:rPr>
        <w:lastRenderedPageBreak/>
        <w:t>תקשורת ועיתונות בע"מ נ' מזאווי</w:t>
      </w:r>
      <w:r w:rsidR="00025186" w:rsidRPr="00A5473C">
        <w:rPr>
          <w:rFonts w:ascii="David" w:hAnsi="David" w:cs="David" w:hint="cs"/>
          <w:rtl/>
        </w:rPr>
        <w:t xml:space="preserve"> וכן </w:t>
      </w:r>
      <w:r w:rsidR="00025186" w:rsidRPr="00A5473C">
        <w:rPr>
          <w:rFonts w:ascii="David" w:hAnsi="David" w:cs="David"/>
          <w:rtl/>
        </w:rPr>
        <w:t xml:space="preserve">ס"ע 58596-09-15 </w:t>
      </w:r>
      <w:r w:rsidR="00025186" w:rsidRPr="00A5473C">
        <w:rPr>
          <w:rFonts w:ascii="David" w:hAnsi="David" w:cs="David" w:hint="eastAsia"/>
          <w:b/>
          <w:bCs/>
          <w:rtl/>
        </w:rPr>
        <w:t>מזאווי</w:t>
      </w:r>
      <w:r w:rsidR="00025186" w:rsidRPr="00A5473C">
        <w:rPr>
          <w:rFonts w:ascii="David" w:hAnsi="David" w:cs="David"/>
          <w:b/>
          <w:bCs/>
          <w:rtl/>
        </w:rPr>
        <w:t xml:space="preserve"> נ' אינדקס הגליל תקשורת ועיתונות בע"מ</w:t>
      </w:r>
      <w:r w:rsidR="00025186" w:rsidRPr="00A5473C">
        <w:rPr>
          <w:rFonts w:ascii="David" w:hAnsi="David" w:cs="David"/>
          <w:rtl/>
        </w:rPr>
        <w:t xml:space="preserve"> (</w:t>
      </w:r>
      <w:r w:rsidR="00A5473C" w:rsidRPr="00A5473C">
        <w:rPr>
          <w:rFonts w:ascii="David" w:hAnsi="David" w:cs="David" w:hint="cs"/>
          <w:rtl/>
        </w:rPr>
        <w:t xml:space="preserve">בתי הדין לעבודה הכירו בטקס נישואין פרטי כנישואים לצורך זכאות לדמי פיטורין בשל שינוי מקום מגורים מחמת נישואים). וראו גם </w:t>
      </w:r>
      <w:r w:rsidRPr="00A5473C">
        <w:rPr>
          <w:rFonts w:cs="David" w:hint="cs"/>
          <w:rtl/>
        </w:rPr>
        <w:t>בג</w:t>
      </w:r>
      <w:r w:rsidRPr="00A5473C">
        <w:rPr>
          <w:rFonts w:cs="David"/>
          <w:rtl/>
        </w:rPr>
        <w:t>"</w:t>
      </w:r>
      <w:r w:rsidRPr="00A5473C">
        <w:rPr>
          <w:rFonts w:cs="David" w:hint="cs"/>
          <w:rtl/>
        </w:rPr>
        <w:t>ץ</w:t>
      </w:r>
      <w:r w:rsidRPr="00A5473C">
        <w:rPr>
          <w:rFonts w:cs="David"/>
          <w:rtl/>
        </w:rPr>
        <w:t xml:space="preserve"> 693/91 </w:t>
      </w:r>
      <w:r w:rsidRPr="00A5473C">
        <w:rPr>
          <w:rFonts w:cs="David" w:hint="cs"/>
          <w:b/>
          <w:bCs/>
          <w:rtl/>
        </w:rPr>
        <w:t>ד</w:t>
      </w:r>
      <w:r w:rsidRPr="00A5473C">
        <w:rPr>
          <w:rFonts w:cs="David"/>
          <w:b/>
          <w:bCs/>
          <w:rtl/>
        </w:rPr>
        <w:t>"</w:t>
      </w:r>
      <w:r w:rsidRPr="00A5473C">
        <w:rPr>
          <w:rFonts w:cs="David" w:hint="cs"/>
          <w:b/>
          <w:bCs/>
          <w:rtl/>
        </w:rPr>
        <w:t>ר</w:t>
      </w:r>
      <w:r w:rsidRPr="00A5473C">
        <w:rPr>
          <w:rFonts w:cs="David"/>
          <w:b/>
          <w:bCs/>
          <w:rtl/>
        </w:rPr>
        <w:t xml:space="preserve"> </w:t>
      </w:r>
      <w:r w:rsidRPr="00A5473C">
        <w:rPr>
          <w:rFonts w:cs="David" w:hint="cs"/>
          <w:b/>
          <w:bCs/>
          <w:rtl/>
        </w:rPr>
        <w:t>מיכל</w:t>
      </w:r>
      <w:r w:rsidRPr="00A5473C">
        <w:rPr>
          <w:rFonts w:cs="David"/>
          <w:b/>
          <w:bCs/>
          <w:rtl/>
        </w:rPr>
        <w:t xml:space="preserve"> </w:t>
      </w:r>
      <w:r w:rsidRPr="00A5473C">
        <w:rPr>
          <w:rFonts w:cs="David" w:hint="cs"/>
          <w:b/>
          <w:bCs/>
          <w:rtl/>
        </w:rPr>
        <w:t>אפרת</w:t>
      </w:r>
      <w:r w:rsidRPr="00A5473C">
        <w:rPr>
          <w:rFonts w:cs="David"/>
          <w:b/>
          <w:bCs/>
          <w:rtl/>
        </w:rPr>
        <w:t xml:space="preserve"> </w:t>
      </w:r>
      <w:r w:rsidRPr="00A5473C">
        <w:rPr>
          <w:rFonts w:cs="David" w:hint="cs"/>
          <w:b/>
          <w:bCs/>
          <w:rtl/>
        </w:rPr>
        <w:t>נ</w:t>
      </w:r>
      <w:r w:rsidRPr="00A5473C">
        <w:rPr>
          <w:rFonts w:cs="David"/>
          <w:b/>
          <w:bCs/>
          <w:rtl/>
        </w:rPr>
        <w:t xml:space="preserve">' </w:t>
      </w:r>
      <w:r w:rsidRPr="00A5473C">
        <w:rPr>
          <w:rFonts w:cs="David" w:hint="cs"/>
          <w:b/>
          <w:bCs/>
          <w:rtl/>
        </w:rPr>
        <w:t>הממונה</w:t>
      </w:r>
      <w:r w:rsidRPr="00A5473C">
        <w:rPr>
          <w:rFonts w:cs="David"/>
          <w:b/>
          <w:bCs/>
          <w:rtl/>
        </w:rPr>
        <w:t xml:space="preserve"> </w:t>
      </w:r>
      <w:r w:rsidRPr="00A5473C">
        <w:rPr>
          <w:rFonts w:cs="David" w:hint="cs"/>
          <w:b/>
          <w:bCs/>
          <w:rtl/>
        </w:rPr>
        <w:t>על</w:t>
      </w:r>
      <w:r w:rsidRPr="00A5473C">
        <w:rPr>
          <w:rFonts w:cs="David"/>
          <w:b/>
          <w:bCs/>
          <w:rtl/>
        </w:rPr>
        <w:t xml:space="preserve"> </w:t>
      </w:r>
      <w:r w:rsidRPr="00A5473C">
        <w:rPr>
          <w:rFonts w:cs="David" w:hint="cs"/>
          <w:b/>
          <w:bCs/>
          <w:rtl/>
        </w:rPr>
        <w:t>מרשם</w:t>
      </w:r>
      <w:r w:rsidRPr="00A5473C">
        <w:rPr>
          <w:rFonts w:cs="David"/>
          <w:b/>
          <w:bCs/>
          <w:rtl/>
        </w:rPr>
        <w:t xml:space="preserve"> </w:t>
      </w:r>
      <w:r w:rsidRPr="00A5473C">
        <w:rPr>
          <w:rFonts w:cs="David" w:hint="cs"/>
          <w:b/>
          <w:bCs/>
          <w:rtl/>
        </w:rPr>
        <w:t>האוכלוסין</w:t>
      </w:r>
      <w:r w:rsidRPr="00A5473C">
        <w:rPr>
          <w:rFonts w:cs="David"/>
          <w:rtl/>
        </w:rPr>
        <w:t xml:space="preserve">  </w:t>
      </w:r>
      <w:r w:rsidRPr="00A5473C">
        <w:rPr>
          <w:rFonts w:cs="David" w:hint="cs"/>
          <w:rtl/>
        </w:rPr>
        <w:t>פ</w:t>
      </w:r>
      <w:r w:rsidRPr="00A5473C">
        <w:rPr>
          <w:rFonts w:cs="David"/>
          <w:rtl/>
        </w:rPr>
        <w:t>"</w:t>
      </w:r>
      <w:r w:rsidRPr="00A5473C">
        <w:rPr>
          <w:rFonts w:cs="David" w:hint="cs"/>
          <w:rtl/>
        </w:rPr>
        <w:t>ד</w:t>
      </w:r>
      <w:r w:rsidRPr="00A5473C">
        <w:rPr>
          <w:rFonts w:cs="David"/>
          <w:rtl/>
        </w:rPr>
        <w:t xml:space="preserve"> </w:t>
      </w:r>
      <w:r w:rsidRPr="00A5473C">
        <w:rPr>
          <w:rFonts w:cs="David" w:hint="cs"/>
          <w:rtl/>
        </w:rPr>
        <w:t>מז</w:t>
      </w:r>
      <w:r w:rsidRPr="00A5473C">
        <w:rPr>
          <w:rFonts w:cs="David"/>
          <w:rtl/>
        </w:rPr>
        <w:t>(1), 749</w:t>
      </w:r>
      <w:r w:rsidRPr="00A5473C">
        <w:rPr>
          <w:rFonts w:cs="David" w:hint="cs"/>
          <w:rtl/>
        </w:rPr>
        <w:t xml:space="preserve"> (זכות ידועה בציבור לשנות את שמה לשמו של בן זוגה), בו צוין:</w:t>
      </w:r>
    </w:p>
    <w:p w14:paraId="4C9FA8A1" w14:textId="77777777" w:rsidR="001E585F" w:rsidRPr="002A154E" w:rsidRDefault="001E585F" w:rsidP="001E585F">
      <w:pPr>
        <w:pStyle w:val="a3"/>
        <w:rPr>
          <w:rFonts w:cs="David"/>
          <w:rtl/>
        </w:rPr>
      </w:pPr>
    </w:p>
    <w:p w14:paraId="24150E8B" w14:textId="6CC30A55" w:rsidR="001E585F" w:rsidRDefault="001E585F" w:rsidP="001E585F">
      <w:pPr>
        <w:pStyle w:val="a3"/>
        <w:spacing w:after="240" w:line="312" w:lineRule="exact"/>
        <w:ind w:left="1360" w:right="851"/>
        <w:jc w:val="both"/>
        <w:rPr>
          <w:rFonts w:cs="David"/>
          <w:rtl/>
        </w:rPr>
      </w:pPr>
      <w:r w:rsidRPr="00221B6A">
        <w:rPr>
          <w:rFonts w:cs="David"/>
          <w:rtl/>
        </w:rPr>
        <w:t>מוסד הידועה בציבור נוסד בשל צורך לפתור בעיה חברתית בישראל.</w:t>
      </w:r>
      <w:r>
        <w:rPr>
          <w:rFonts w:cs="David" w:hint="cs"/>
          <w:rtl/>
        </w:rPr>
        <w:t>..</w:t>
      </w:r>
      <w:r w:rsidRPr="00221B6A">
        <w:rPr>
          <w:rFonts w:cs="David"/>
          <w:rtl/>
        </w:rPr>
        <w:t xml:space="preserve"> צורך זה, אשר יצר את המוסד של ידועה בציבור, גרם להמשך התפתחותו בחקיקה ובפסיקה. אין אפוא כל מקום לקביעה, כי כל היקפו של הפער בין סטטוס הנשואים לבין מעמד הידועים בציבור משקף תקנת ציבור ישראלית הגורסת שמירת הפער והמשקיפה בשלילה לכל ניסיון להקטינו.</w:t>
      </w:r>
      <w:r>
        <w:rPr>
          <w:rFonts w:cs="David" w:hint="cs"/>
          <w:rtl/>
        </w:rPr>
        <w:t>..</w:t>
      </w:r>
      <w:r w:rsidRPr="00221B6A">
        <w:rPr>
          <w:rFonts w:cs="David"/>
          <w:rtl/>
        </w:rPr>
        <w:t xml:space="preserve"> </w:t>
      </w:r>
    </w:p>
    <w:p w14:paraId="56DBAD1B" w14:textId="77777777" w:rsidR="001E585F" w:rsidRPr="00E132BE" w:rsidRDefault="001E585F" w:rsidP="001E585F">
      <w:pPr>
        <w:pStyle w:val="a3"/>
        <w:spacing w:after="240" w:line="312" w:lineRule="exact"/>
        <w:ind w:left="1360" w:right="851"/>
        <w:jc w:val="both"/>
        <w:rPr>
          <w:rFonts w:cs="David"/>
          <w:rtl/>
        </w:rPr>
      </w:pPr>
      <w:r w:rsidRPr="006A7D33">
        <w:rPr>
          <w:rFonts w:cs="David" w:hint="cs"/>
          <w:rtl/>
        </w:rPr>
        <w:t>הכנסת הכניסה את הידועה בציבור תחת כנפי חסותה במספר רב של חוקים והעניקה לה זכויות כספיות וחמריות שונות.</w:t>
      </w:r>
      <w:r>
        <w:rPr>
          <w:rFonts w:cs="David" w:hint="cs"/>
          <w:rtl/>
        </w:rPr>
        <w:t xml:space="preserve">.. </w:t>
      </w:r>
      <w:r w:rsidRPr="00E132BE">
        <w:rPr>
          <w:rFonts w:cs="David" w:hint="cs"/>
          <w:rtl/>
        </w:rPr>
        <w:t>אכן, חקיקה מקיפה זו לא רק שאינה נוגדת את תקנת הציבור בישראל, אלא היא מהווה חלק מאבני המסד הבונות את תקנת הציבור.</w:t>
      </w:r>
      <w:r>
        <w:rPr>
          <w:rFonts w:cs="David" w:hint="cs"/>
          <w:rtl/>
        </w:rPr>
        <w:t>..</w:t>
      </w:r>
    </w:p>
    <w:p w14:paraId="448CD101" w14:textId="77777777" w:rsidR="001E585F" w:rsidRDefault="001E585F" w:rsidP="001E585F">
      <w:pPr>
        <w:pStyle w:val="a3"/>
        <w:spacing w:after="240" w:line="312" w:lineRule="exact"/>
        <w:ind w:left="1360" w:right="851"/>
        <w:jc w:val="both"/>
        <w:rPr>
          <w:rFonts w:cs="David"/>
          <w:rtl/>
        </w:rPr>
      </w:pPr>
      <w:r w:rsidRPr="000A5D51">
        <w:rPr>
          <w:rFonts w:cs="David" w:hint="cs"/>
          <w:rtl/>
        </w:rPr>
        <w:t>בסגירת הפער בין מעמד הנשואים לבין מעמד הידועים בציבור היה שיתוף פעולה בין הרשות המחוקקת לבין הרשות השופטת. בצד פעולת החקיקה, אשר הכירה במוסד ידועים בציבור, עומד המפעל ההלכתי, אשר המשיך במדיניות המשפטית שנקט המחוקק.</w:t>
      </w:r>
      <w:r>
        <w:rPr>
          <w:rFonts w:cs="David" w:hint="cs"/>
          <w:rtl/>
        </w:rPr>
        <w:t>" (בע' 785-786)</w:t>
      </w:r>
    </w:p>
    <w:p w14:paraId="693AF84A" w14:textId="77777777" w:rsidR="001E585F" w:rsidRPr="000A5D51" w:rsidRDefault="001E585F" w:rsidP="001E585F">
      <w:pPr>
        <w:pStyle w:val="a3"/>
        <w:spacing w:after="240" w:line="312" w:lineRule="exact"/>
        <w:ind w:left="1360" w:right="851"/>
        <w:jc w:val="both"/>
        <w:rPr>
          <w:rFonts w:cs="David"/>
          <w:rtl/>
        </w:rPr>
      </w:pPr>
    </w:p>
    <w:p w14:paraId="1654226D" w14:textId="77777777" w:rsidR="001E585F" w:rsidRPr="000A5D51" w:rsidRDefault="001E585F" w:rsidP="001E585F">
      <w:pPr>
        <w:pStyle w:val="a3"/>
        <w:spacing w:after="120" w:line="312" w:lineRule="exact"/>
        <w:ind w:left="1440" w:right="426"/>
        <w:jc w:val="both"/>
        <w:rPr>
          <w:rFonts w:cs="David"/>
          <w:rtl/>
        </w:rPr>
      </w:pPr>
    </w:p>
    <w:p w14:paraId="479EDBA0" w14:textId="77777777" w:rsidR="001E585F" w:rsidRDefault="001E585F" w:rsidP="001E585F">
      <w:pPr>
        <w:pStyle w:val="a3"/>
        <w:numPr>
          <w:ilvl w:val="0"/>
          <w:numId w:val="4"/>
        </w:numPr>
        <w:tabs>
          <w:tab w:val="num" w:pos="540"/>
        </w:tabs>
        <w:autoSpaceDE/>
        <w:autoSpaceDN/>
        <w:spacing w:before="240" w:line="360" w:lineRule="auto"/>
        <w:jc w:val="both"/>
        <w:rPr>
          <w:rFonts w:cs="David"/>
        </w:rPr>
      </w:pPr>
      <w:r>
        <w:rPr>
          <w:rFonts w:cs="David" w:hint="cs"/>
          <w:rtl/>
        </w:rPr>
        <w:t>אף בכל הנוגע לזוגות להט"ב, החוק והפסיקה העניקו יחס שוויוני בהקשרים רבים ושונים.</w:t>
      </w:r>
      <w:r w:rsidRPr="007F446C">
        <w:rPr>
          <w:rFonts w:cs="David" w:hint="cs"/>
          <w:rtl/>
        </w:rPr>
        <w:t xml:space="preserve"> </w:t>
      </w:r>
    </w:p>
    <w:p w14:paraId="345C64C3" w14:textId="77777777" w:rsidR="001E585F" w:rsidRDefault="001E585F" w:rsidP="001E585F">
      <w:pPr>
        <w:pStyle w:val="a3"/>
        <w:numPr>
          <w:ilvl w:val="0"/>
          <w:numId w:val="4"/>
        </w:numPr>
        <w:tabs>
          <w:tab w:val="num" w:pos="540"/>
        </w:tabs>
        <w:autoSpaceDE/>
        <w:autoSpaceDN/>
        <w:spacing w:before="240" w:line="360" w:lineRule="auto"/>
        <w:jc w:val="both"/>
        <w:rPr>
          <w:rFonts w:cs="David"/>
        </w:rPr>
      </w:pPr>
      <w:r>
        <w:rPr>
          <w:rFonts w:cs="David" w:hint="cs"/>
          <w:rtl/>
        </w:rPr>
        <w:t xml:space="preserve">בין דברי החקיקה ניתן להצביע על האיסור על הפליה מחמת נטייה מינית שקבוע בחוק שוויון הזדמנויות בעבודה, תשמ"ח </w:t>
      </w:r>
      <w:r>
        <w:rPr>
          <w:rFonts w:cs="David"/>
          <w:rtl/>
        </w:rPr>
        <w:t>–</w:t>
      </w:r>
      <w:r>
        <w:rPr>
          <w:rFonts w:cs="David" w:hint="cs"/>
          <w:rtl/>
        </w:rPr>
        <w:t xml:space="preserve"> 1988, בחוק איסור הפליה, בחוק חובת מכרזים, חוק זכויות החולה, תשנ"ו </w:t>
      </w:r>
      <w:r>
        <w:rPr>
          <w:rFonts w:cs="David"/>
          <w:rtl/>
        </w:rPr>
        <w:t>–</w:t>
      </w:r>
      <w:r>
        <w:rPr>
          <w:rFonts w:cs="David" w:hint="cs"/>
          <w:rtl/>
        </w:rPr>
        <w:t xml:space="preserve"> 1996, </w:t>
      </w:r>
    </w:p>
    <w:p w14:paraId="57926C4C" w14:textId="77777777" w:rsidR="001E585F" w:rsidRPr="001C479B" w:rsidRDefault="001E585F" w:rsidP="001E585F">
      <w:pPr>
        <w:pStyle w:val="a3"/>
        <w:numPr>
          <w:ilvl w:val="0"/>
          <w:numId w:val="4"/>
        </w:numPr>
        <w:tabs>
          <w:tab w:val="num" w:pos="540"/>
        </w:tabs>
        <w:autoSpaceDE/>
        <w:autoSpaceDN/>
        <w:spacing w:before="240" w:line="360" w:lineRule="auto"/>
        <w:jc w:val="both"/>
        <w:rPr>
          <w:rFonts w:cs="David"/>
        </w:rPr>
      </w:pPr>
      <w:r w:rsidRPr="001C479B">
        <w:rPr>
          <w:rFonts w:cs="David" w:hint="cs"/>
          <w:rtl/>
        </w:rPr>
        <w:t>בין פסקי הדין שהורו על מתן יחס שוויוני לקהילה הגאה ראו לדוגמא</w:t>
      </w:r>
      <w:r>
        <w:rPr>
          <w:rFonts w:cs="David" w:hint="cs"/>
          <w:rtl/>
        </w:rPr>
        <w:t xml:space="preserve"> </w:t>
      </w:r>
      <w:hyperlink r:id="rId19" w:history="1">
        <w:r w:rsidRPr="001C479B">
          <w:rPr>
            <w:rFonts w:cs="David" w:hint="cs"/>
            <w:b/>
            <w:bCs/>
            <w:rtl/>
          </w:rPr>
          <w:t>בג</w:t>
        </w:r>
        <w:r w:rsidRPr="001C479B">
          <w:rPr>
            <w:rFonts w:cs="David"/>
            <w:b/>
            <w:bCs/>
            <w:rtl/>
          </w:rPr>
          <w:t>"</w:t>
        </w:r>
        <w:r w:rsidRPr="001C479B">
          <w:rPr>
            <w:rFonts w:cs="David" w:hint="cs"/>
            <w:b/>
            <w:bCs/>
            <w:rtl/>
          </w:rPr>
          <w:t>ץ</w:t>
        </w:r>
        <w:r w:rsidRPr="001C479B">
          <w:rPr>
            <w:rFonts w:cs="David"/>
            <w:b/>
            <w:bCs/>
            <w:rtl/>
          </w:rPr>
          <w:t xml:space="preserve"> 721/94 </w:t>
        </w:r>
        <w:r w:rsidRPr="001C479B">
          <w:rPr>
            <w:rFonts w:cs="David" w:hint="cs"/>
            <w:b/>
            <w:bCs/>
            <w:rtl/>
          </w:rPr>
          <w:t>אל</w:t>
        </w:r>
        <w:r w:rsidRPr="001C479B">
          <w:rPr>
            <w:rFonts w:cs="David"/>
            <w:b/>
            <w:bCs/>
            <w:rtl/>
          </w:rPr>
          <w:t xml:space="preserve"> </w:t>
        </w:r>
        <w:r w:rsidRPr="001C479B">
          <w:rPr>
            <w:rFonts w:cs="David" w:hint="cs"/>
            <w:b/>
            <w:bCs/>
            <w:rtl/>
          </w:rPr>
          <w:t>על</w:t>
        </w:r>
        <w:r w:rsidRPr="001C479B">
          <w:rPr>
            <w:rFonts w:cs="David"/>
            <w:b/>
            <w:bCs/>
            <w:rtl/>
          </w:rPr>
          <w:t xml:space="preserve"> </w:t>
        </w:r>
        <w:r w:rsidRPr="001C479B">
          <w:rPr>
            <w:rFonts w:cs="David" w:hint="cs"/>
            <w:b/>
            <w:bCs/>
            <w:rtl/>
          </w:rPr>
          <w:t>נתיבי</w:t>
        </w:r>
        <w:r w:rsidRPr="001C479B">
          <w:rPr>
            <w:rFonts w:cs="David"/>
            <w:b/>
            <w:bCs/>
            <w:rtl/>
          </w:rPr>
          <w:t xml:space="preserve"> </w:t>
        </w:r>
        <w:r w:rsidRPr="001C479B">
          <w:rPr>
            <w:rFonts w:cs="David" w:hint="cs"/>
            <w:b/>
            <w:bCs/>
            <w:rtl/>
          </w:rPr>
          <w:t>אויר</w:t>
        </w:r>
        <w:r w:rsidRPr="001C479B">
          <w:rPr>
            <w:rFonts w:cs="David"/>
            <w:b/>
            <w:bCs/>
            <w:rtl/>
          </w:rPr>
          <w:t xml:space="preserve"> </w:t>
        </w:r>
        <w:r w:rsidRPr="001C479B">
          <w:rPr>
            <w:rFonts w:cs="David" w:hint="cs"/>
            <w:b/>
            <w:bCs/>
            <w:rtl/>
          </w:rPr>
          <w:t>לישראל</w:t>
        </w:r>
        <w:r w:rsidRPr="001C479B">
          <w:rPr>
            <w:rFonts w:cs="David"/>
            <w:b/>
            <w:bCs/>
            <w:rtl/>
          </w:rPr>
          <w:t xml:space="preserve"> </w:t>
        </w:r>
        <w:r w:rsidRPr="001C479B">
          <w:rPr>
            <w:rFonts w:cs="David" w:hint="cs"/>
            <w:b/>
            <w:bCs/>
            <w:rtl/>
          </w:rPr>
          <w:t>נ</w:t>
        </w:r>
        <w:r w:rsidRPr="001C479B">
          <w:rPr>
            <w:rFonts w:cs="David"/>
            <w:b/>
            <w:bCs/>
            <w:rtl/>
          </w:rPr>
          <w:t xml:space="preserve">' </w:t>
        </w:r>
        <w:r w:rsidRPr="001C479B">
          <w:rPr>
            <w:rFonts w:cs="David" w:hint="cs"/>
            <w:b/>
            <w:bCs/>
            <w:rtl/>
          </w:rPr>
          <w:t>יונתן</w:t>
        </w:r>
        <w:r w:rsidRPr="001C479B">
          <w:rPr>
            <w:rFonts w:cs="David"/>
            <w:b/>
            <w:bCs/>
            <w:rtl/>
          </w:rPr>
          <w:t xml:space="preserve"> </w:t>
        </w:r>
        <w:r w:rsidRPr="001C479B">
          <w:rPr>
            <w:rFonts w:cs="David" w:hint="cs"/>
            <w:b/>
            <w:bCs/>
            <w:rtl/>
          </w:rPr>
          <w:t>דנילוביץ</w:t>
        </w:r>
        <w:r w:rsidRPr="001C479B">
          <w:rPr>
            <w:rFonts w:cs="David"/>
            <w:b/>
            <w:bCs/>
            <w:rtl/>
          </w:rPr>
          <w:t>,</w:t>
        </w:r>
        <w:r w:rsidRPr="001C479B">
          <w:rPr>
            <w:rFonts w:cs="David"/>
            <w:rtl/>
          </w:rPr>
          <w:t xml:space="preserve"> </w:t>
        </w:r>
        <w:r w:rsidRPr="001C479B">
          <w:rPr>
            <w:rFonts w:cs="David" w:hint="cs"/>
            <w:rtl/>
          </w:rPr>
          <w:t>פ</w:t>
        </w:r>
        <w:r w:rsidRPr="001C479B">
          <w:rPr>
            <w:rFonts w:cs="David"/>
            <w:rtl/>
          </w:rPr>
          <w:t>"</w:t>
        </w:r>
        <w:r w:rsidRPr="001C479B">
          <w:rPr>
            <w:rFonts w:cs="David" w:hint="cs"/>
            <w:rtl/>
          </w:rPr>
          <w:t>ד</w:t>
        </w:r>
        <w:r w:rsidRPr="001C479B">
          <w:rPr>
            <w:rFonts w:cs="David"/>
            <w:rtl/>
          </w:rPr>
          <w:t xml:space="preserve"> </w:t>
        </w:r>
        <w:r w:rsidRPr="001C479B">
          <w:rPr>
            <w:rFonts w:cs="David" w:hint="cs"/>
            <w:rtl/>
          </w:rPr>
          <w:t>מח</w:t>
        </w:r>
      </w:hyperlink>
      <w:r>
        <w:rPr>
          <w:rFonts w:cs="David" w:hint="cs"/>
          <w:rtl/>
        </w:rPr>
        <w:t xml:space="preserve">(5) 749; ענין </w:t>
      </w:r>
      <w:r w:rsidRPr="005A3C18">
        <w:rPr>
          <w:rFonts w:cs="David" w:hint="cs"/>
          <w:b/>
          <w:bCs/>
          <w:rtl/>
        </w:rPr>
        <w:t>הבית הפתוח</w:t>
      </w:r>
      <w:r>
        <w:rPr>
          <w:rFonts w:cs="David" w:hint="cs"/>
          <w:rtl/>
        </w:rPr>
        <w:t xml:space="preserve">; בג"ץ 1779/99 </w:t>
      </w:r>
      <w:r>
        <w:rPr>
          <w:rFonts w:cs="David" w:hint="cs"/>
          <w:b/>
          <w:bCs/>
          <w:rtl/>
        </w:rPr>
        <w:t xml:space="preserve">ברנר </w:t>
      </w:r>
      <w:r>
        <w:rPr>
          <w:rFonts w:cs="David"/>
          <w:b/>
          <w:bCs/>
          <w:rtl/>
        </w:rPr>
        <w:t>–</w:t>
      </w:r>
      <w:r>
        <w:rPr>
          <w:rFonts w:cs="David" w:hint="cs"/>
          <w:b/>
          <w:bCs/>
          <w:rtl/>
        </w:rPr>
        <w:t>קדיש נ' שר הפנים</w:t>
      </w:r>
      <w:r>
        <w:rPr>
          <w:rFonts w:cs="David" w:hint="cs"/>
          <w:rtl/>
        </w:rPr>
        <w:t xml:space="preserve">, פ"ד נד(2) 368, בג"ץ 781/15 </w:t>
      </w:r>
      <w:r>
        <w:rPr>
          <w:rFonts w:cs="David" w:hint="cs"/>
          <w:b/>
          <w:bCs/>
          <w:rtl/>
        </w:rPr>
        <w:t>ארד-פנקס נ' הועדה לאישור הסכמים לנשיאת עוברים.</w:t>
      </w:r>
    </w:p>
    <w:p w14:paraId="2751892F" w14:textId="77777777" w:rsidR="001E585F" w:rsidRDefault="001E585F" w:rsidP="001E585F">
      <w:pPr>
        <w:pStyle w:val="a3"/>
        <w:numPr>
          <w:ilvl w:val="0"/>
          <w:numId w:val="4"/>
        </w:numPr>
        <w:tabs>
          <w:tab w:val="num" w:pos="540"/>
        </w:tabs>
        <w:autoSpaceDE/>
        <w:autoSpaceDN/>
        <w:spacing w:before="240" w:line="360" w:lineRule="auto"/>
        <w:jc w:val="both"/>
        <w:rPr>
          <w:rFonts w:cs="David"/>
        </w:rPr>
      </w:pPr>
      <w:r>
        <w:rPr>
          <w:rFonts w:cs="David" w:hint="cs"/>
          <w:rtl/>
        </w:rPr>
        <w:t xml:space="preserve">כפי שציין בית המשפט העליון בעע"ם 343/09: </w:t>
      </w:r>
    </w:p>
    <w:p w14:paraId="7E08A74A" w14:textId="1906E167" w:rsidR="001E585F" w:rsidRDefault="001E585F" w:rsidP="00160B30">
      <w:pPr>
        <w:pStyle w:val="a3"/>
        <w:spacing w:after="240" w:line="312" w:lineRule="exact"/>
        <w:ind w:left="1360" w:right="851"/>
        <w:jc w:val="both"/>
        <w:rPr>
          <w:rFonts w:cs="David"/>
          <w:rtl/>
        </w:rPr>
      </w:pPr>
      <w:r w:rsidRPr="000A5D51">
        <w:rPr>
          <w:rFonts w:cs="David"/>
          <w:rtl/>
        </w:rPr>
        <w:t>"</w:t>
      </w:r>
      <w:r w:rsidRPr="000A5D51">
        <w:rPr>
          <w:rFonts w:cs="David" w:hint="cs"/>
          <w:rtl/>
        </w:rPr>
        <w:t>מלומדים</w:t>
      </w:r>
      <w:r w:rsidRPr="000A5D51">
        <w:rPr>
          <w:rFonts w:cs="David"/>
          <w:rtl/>
        </w:rPr>
        <w:t xml:space="preserve"> </w:t>
      </w:r>
      <w:r w:rsidRPr="000A5D51">
        <w:rPr>
          <w:rFonts w:cs="David" w:hint="cs"/>
          <w:rtl/>
        </w:rPr>
        <w:t>תיארו</w:t>
      </w:r>
      <w:r w:rsidRPr="000A5D51">
        <w:rPr>
          <w:rFonts w:cs="David"/>
          <w:rtl/>
        </w:rPr>
        <w:t xml:space="preserve"> </w:t>
      </w:r>
      <w:r w:rsidRPr="000A5D51">
        <w:rPr>
          <w:rFonts w:cs="David" w:hint="cs"/>
          <w:rtl/>
        </w:rPr>
        <w:t>את</w:t>
      </w:r>
      <w:r w:rsidRPr="000A5D51">
        <w:rPr>
          <w:rFonts w:cs="David"/>
          <w:rtl/>
        </w:rPr>
        <w:t xml:space="preserve"> </w:t>
      </w:r>
      <w:r w:rsidRPr="000A5D51">
        <w:rPr>
          <w:rFonts w:cs="David" w:hint="cs"/>
          <w:rtl/>
        </w:rPr>
        <w:t>שנות</w:t>
      </w:r>
      <w:r w:rsidRPr="000A5D51">
        <w:rPr>
          <w:rFonts w:cs="David"/>
          <w:rtl/>
        </w:rPr>
        <w:t xml:space="preserve"> </w:t>
      </w:r>
      <w:r w:rsidRPr="000A5D51">
        <w:rPr>
          <w:rFonts w:cs="David" w:hint="cs"/>
          <w:rtl/>
        </w:rPr>
        <w:t>התשעים</w:t>
      </w:r>
      <w:r w:rsidRPr="000A5D51">
        <w:rPr>
          <w:rFonts w:cs="David"/>
          <w:rtl/>
        </w:rPr>
        <w:t xml:space="preserve"> </w:t>
      </w:r>
      <w:r w:rsidRPr="000A5D51">
        <w:rPr>
          <w:rFonts w:cs="David" w:hint="cs"/>
          <w:rtl/>
        </w:rPr>
        <w:t>בישראל</w:t>
      </w:r>
      <w:r w:rsidRPr="000A5D51">
        <w:rPr>
          <w:rFonts w:cs="David"/>
          <w:rtl/>
        </w:rPr>
        <w:t xml:space="preserve"> </w:t>
      </w:r>
      <w:r w:rsidRPr="000A5D51">
        <w:rPr>
          <w:rFonts w:cs="David" w:hint="cs"/>
          <w:rtl/>
        </w:rPr>
        <w:t>כ</w:t>
      </w:r>
      <w:r w:rsidRPr="000A5D51">
        <w:rPr>
          <w:rFonts w:cs="David"/>
          <w:rtl/>
        </w:rPr>
        <w:t>"</w:t>
      </w:r>
      <w:r w:rsidRPr="000A5D51">
        <w:rPr>
          <w:rFonts w:cs="David" w:hint="cs"/>
          <w:rtl/>
        </w:rPr>
        <w:t>עשור</w:t>
      </w:r>
      <w:r w:rsidRPr="000A5D51">
        <w:rPr>
          <w:rFonts w:cs="David"/>
          <w:rtl/>
        </w:rPr>
        <w:t xml:space="preserve"> </w:t>
      </w:r>
      <w:r w:rsidRPr="000A5D51">
        <w:rPr>
          <w:rFonts w:cs="David" w:hint="cs"/>
          <w:rtl/>
        </w:rPr>
        <w:t>ההומוסקסואלי</w:t>
      </w:r>
      <w:r w:rsidRPr="000A5D51">
        <w:rPr>
          <w:rFonts w:cs="David"/>
          <w:rtl/>
        </w:rPr>
        <w:t xml:space="preserve">", </w:t>
      </w:r>
      <w:r w:rsidRPr="000A5D51">
        <w:rPr>
          <w:rFonts w:cs="David" w:hint="cs"/>
          <w:rtl/>
        </w:rPr>
        <w:t>ואת</w:t>
      </w:r>
      <w:r w:rsidRPr="000A5D51">
        <w:rPr>
          <w:rFonts w:cs="David"/>
          <w:rtl/>
        </w:rPr>
        <w:t xml:space="preserve"> </w:t>
      </w:r>
      <w:r w:rsidRPr="000A5D51">
        <w:rPr>
          <w:rFonts w:cs="David" w:hint="cs"/>
          <w:rtl/>
        </w:rPr>
        <w:t>השינויים</w:t>
      </w:r>
      <w:r w:rsidRPr="000A5D51">
        <w:rPr>
          <w:rFonts w:cs="David"/>
          <w:rtl/>
        </w:rPr>
        <w:t xml:space="preserve"> </w:t>
      </w:r>
      <w:r w:rsidRPr="000A5D51">
        <w:rPr>
          <w:rFonts w:cs="David" w:hint="cs"/>
          <w:rtl/>
        </w:rPr>
        <w:t>המשפטיים</w:t>
      </w:r>
      <w:r w:rsidRPr="000A5D51">
        <w:rPr>
          <w:rFonts w:cs="David"/>
          <w:rtl/>
        </w:rPr>
        <w:t xml:space="preserve"> </w:t>
      </w:r>
      <w:r w:rsidRPr="000A5D51">
        <w:rPr>
          <w:rFonts w:cs="David" w:hint="cs"/>
          <w:rtl/>
        </w:rPr>
        <w:t>שעברה</w:t>
      </w:r>
      <w:r w:rsidRPr="000A5D51">
        <w:rPr>
          <w:rFonts w:cs="David"/>
          <w:rtl/>
        </w:rPr>
        <w:t xml:space="preserve"> </w:t>
      </w:r>
      <w:r w:rsidRPr="000A5D51">
        <w:rPr>
          <w:rFonts w:cs="David" w:hint="cs"/>
          <w:rtl/>
        </w:rPr>
        <w:t>שיטת</w:t>
      </w:r>
      <w:r w:rsidRPr="000A5D51">
        <w:rPr>
          <w:rFonts w:cs="David"/>
          <w:rtl/>
        </w:rPr>
        <w:t xml:space="preserve"> </w:t>
      </w:r>
      <w:r w:rsidRPr="000A5D51">
        <w:rPr>
          <w:rFonts w:cs="David" w:hint="cs"/>
          <w:rtl/>
        </w:rPr>
        <w:t>המשפט</w:t>
      </w:r>
      <w:r w:rsidRPr="000A5D51">
        <w:rPr>
          <w:rFonts w:cs="David"/>
          <w:rtl/>
        </w:rPr>
        <w:t xml:space="preserve"> </w:t>
      </w:r>
      <w:r w:rsidRPr="000A5D51">
        <w:rPr>
          <w:rFonts w:cs="David" w:hint="cs"/>
          <w:rtl/>
        </w:rPr>
        <w:t>הישראלית</w:t>
      </w:r>
      <w:r w:rsidRPr="000A5D51">
        <w:rPr>
          <w:rFonts w:cs="David"/>
          <w:rtl/>
        </w:rPr>
        <w:t xml:space="preserve"> </w:t>
      </w:r>
      <w:r w:rsidRPr="000A5D51">
        <w:rPr>
          <w:rFonts w:cs="David" w:hint="cs"/>
          <w:rtl/>
        </w:rPr>
        <w:t>בשנים</w:t>
      </w:r>
      <w:r w:rsidRPr="000A5D51">
        <w:rPr>
          <w:rFonts w:cs="David"/>
          <w:rtl/>
        </w:rPr>
        <w:t xml:space="preserve"> </w:t>
      </w:r>
      <w:r w:rsidRPr="000A5D51">
        <w:rPr>
          <w:rFonts w:cs="David" w:hint="cs"/>
          <w:rtl/>
        </w:rPr>
        <w:t>אלו</w:t>
      </w:r>
      <w:r w:rsidRPr="000A5D51">
        <w:rPr>
          <w:rFonts w:cs="David"/>
          <w:rtl/>
        </w:rPr>
        <w:t xml:space="preserve">, </w:t>
      </w:r>
      <w:r w:rsidRPr="000A5D51">
        <w:rPr>
          <w:rFonts w:cs="David" w:hint="cs"/>
          <w:rtl/>
        </w:rPr>
        <w:t>בחקיקה</w:t>
      </w:r>
      <w:r w:rsidRPr="000A5D51">
        <w:rPr>
          <w:rFonts w:cs="David"/>
          <w:rtl/>
        </w:rPr>
        <w:t xml:space="preserve"> </w:t>
      </w:r>
      <w:r w:rsidRPr="000A5D51">
        <w:rPr>
          <w:rFonts w:cs="David" w:hint="cs"/>
          <w:rtl/>
        </w:rPr>
        <w:t>ובפסיקה</w:t>
      </w:r>
      <w:r w:rsidRPr="000A5D51">
        <w:rPr>
          <w:rFonts w:cs="David"/>
          <w:rtl/>
        </w:rPr>
        <w:t xml:space="preserve">, </w:t>
      </w:r>
      <w:r w:rsidRPr="000A5D51">
        <w:rPr>
          <w:rFonts w:cs="David" w:hint="cs"/>
          <w:rtl/>
        </w:rPr>
        <w:t>כ</w:t>
      </w:r>
      <w:r w:rsidRPr="000A5D51">
        <w:rPr>
          <w:rFonts w:cs="David"/>
          <w:rtl/>
        </w:rPr>
        <w:t>"</w:t>
      </w:r>
      <w:r w:rsidRPr="000A5D51">
        <w:rPr>
          <w:rFonts w:cs="David" w:hint="cs"/>
          <w:rtl/>
        </w:rPr>
        <w:t>מהפכה</w:t>
      </w:r>
      <w:r w:rsidRPr="000A5D51">
        <w:rPr>
          <w:rFonts w:cs="David"/>
          <w:rtl/>
        </w:rPr>
        <w:t xml:space="preserve"> </w:t>
      </w:r>
      <w:r w:rsidRPr="000A5D51">
        <w:rPr>
          <w:rFonts w:cs="David" w:hint="cs"/>
          <w:rtl/>
        </w:rPr>
        <w:t>משפטית</w:t>
      </w:r>
      <w:r w:rsidRPr="000A5D51">
        <w:rPr>
          <w:rFonts w:cs="David"/>
          <w:rtl/>
        </w:rPr>
        <w:t xml:space="preserve"> </w:t>
      </w:r>
      <w:r w:rsidRPr="000A5D51">
        <w:rPr>
          <w:rFonts w:cs="David" w:hint="cs"/>
          <w:rtl/>
        </w:rPr>
        <w:t>הומוסקסואלית</w:t>
      </w:r>
      <w:r w:rsidRPr="000A5D51">
        <w:rPr>
          <w:rFonts w:cs="David"/>
          <w:rtl/>
        </w:rPr>
        <w:t xml:space="preserve">". </w:t>
      </w:r>
      <w:r w:rsidRPr="000A5D51">
        <w:rPr>
          <w:rFonts w:cs="David" w:hint="cs"/>
          <w:rtl/>
        </w:rPr>
        <w:t>החברה</w:t>
      </w:r>
      <w:r w:rsidRPr="000A5D51">
        <w:rPr>
          <w:rFonts w:cs="David"/>
          <w:rtl/>
        </w:rPr>
        <w:t xml:space="preserve"> </w:t>
      </w:r>
      <w:r w:rsidRPr="000A5D51">
        <w:rPr>
          <w:rFonts w:cs="David" w:hint="cs"/>
          <w:rtl/>
        </w:rPr>
        <w:t>בישראל</w:t>
      </w:r>
      <w:r w:rsidRPr="000A5D51">
        <w:rPr>
          <w:rFonts w:cs="David"/>
          <w:rtl/>
        </w:rPr>
        <w:t xml:space="preserve"> </w:t>
      </w:r>
      <w:r w:rsidRPr="000A5D51">
        <w:rPr>
          <w:rFonts w:cs="David" w:hint="cs"/>
          <w:rtl/>
        </w:rPr>
        <w:t>פיתחה</w:t>
      </w:r>
      <w:r w:rsidRPr="000A5D51">
        <w:rPr>
          <w:rFonts w:cs="David"/>
          <w:rtl/>
        </w:rPr>
        <w:t xml:space="preserve"> </w:t>
      </w:r>
      <w:r w:rsidRPr="000A5D51">
        <w:rPr>
          <w:rFonts w:cs="David" w:hint="cs"/>
          <w:rtl/>
        </w:rPr>
        <w:t>במרוצת</w:t>
      </w:r>
      <w:r w:rsidRPr="000A5D51">
        <w:rPr>
          <w:rFonts w:cs="David"/>
          <w:rtl/>
        </w:rPr>
        <w:t xml:space="preserve"> </w:t>
      </w:r>
      <w:r w:rsidRPr="000A5D51">
        <w:rPr>
          <w:rFonts w:cs="David" w:hint="cs"/>
          <w:rtl/>
        </w:rPr>
        <w:t>השנים</w:t>
      </w:r>
      <w:r w:rsidRPr="000A5D51">
        <w:rPr>
          <w:rFonts w:cs="David"/>
          <w:rtl/>
        </w:rPr>
        <w:t xml:space="preserve"> </w:t>
      </w:r>
      <w:r w:rsidRPr="000A5D51">
        <w:rPr>
          <w:rFonts w:cs="David" w:hint="cs"/>
          <w:rtl/>
        </w:rPr>
        <w:t>מנגנוני</w:t>
      </w:r>
      <w:r w:rsidRPr="000A5D51">
        <w:rPr>
          <w:rFonts w:cs="David"/>
          <w:rtl/>
        </w:rPr>
        <w:t xml:space="preserve"> </w:t>
      </w:r>
      <w:r w:rsidRPr="000A5D51">
        <w:rPr>
          <w:rFonts w:cs="David" w:hint="cs"/>
          <w:rtl/>
        </w:rPr>
        <w:t>הגנה</w:t>
      </w:r>
      <w:r w:rsidRPr="000A5D51">
        <w:rPr>
          <w:rFonts w:cs="David"/>
          <w:rtl/>
        </w:rPr>
        <w:t xml:space="preserve"> </w:t>
      </w:r>
      <w:r w:rsidRPr="000A5D51">
        <w:rPr>
          <w:rFonts w:cs="David" w:hint="cs"/>
          <w:rtl/>
        </w:rPr>
        <w:t>מפני</w:t>
      </w:r>
      <w:r w:rsidRPr="000A5D51">
        <w:rPr>
          <w:rFonts w:cs="David"/>
          <w:rtl/>
        </w:rPr>
        <w:t xml:space="preserve"> </w:t>
      </w:r>
      <w:r w:rsidRPr="000A5D51">
        <w:rPr>
          <w:rFonts w:cs="David" w:hint="cs"/>
          <w:rtl/>
        </w:rPr>
        <w:t>הפליה</w:t>
      </w:r>
      <w:r w:rsidRPr="000A5D51">
        <w:rPr>
          <w:rFonts w:cs="David"/>
          <w:rtl/>
        </w:rPr>
        <w:t xml:space="preserve"> </w:t>
      </w:r>
      <w:r w:rsidRPr="000A5D51">
        <w:rPr>
          <w:rFonts w:cs="David" w:hint="cs"/>
          <w:rtl/>
        </w:rPr>
        <w:t>על</w:t>
      </w:r>
      <w:r w:rsidRPr="000A5D51">
        <w:rPr>
          <w:rFonts w:cs="David"/>
          <w:rtl/>
        </w:rPr>
        <w:t xml:space="preserve"> </w:t>
      </w:r>
      <w:r w:rsidRPr="000A5D51">
        <w:rPr>
          <w:rFonts w:cs="David" w:hint="cs"/>
          <w:rtl/>
        </w:rPr>
        <w:t>רקע</w:t>
      </w:r>
      <w:r w:rsidRPr="000A5D51">
        <w:rPr>
          <w:rFonts w:cs="David"/>
          <w:rtl/>
        </w:rPr>
        <w:t xml:space="preserve"> </w:t>
      </w:r>
      <w:r w:rsidRPr="000A5D51">
        <w:rPr>
          <w:rFonts w:cs="David" w:hint="cs"/>
          <w:rtl/>
        </w:rPr>
        <w:t>נטייה</w:t>
      </w:r>
      <w:r w:rsidRPr="000A5D51">
        <w:rPr>
          <w:rFonts w:cs="David"/>
          <w:rtl/>
        </w:rPr>
        <w:t xml:space="preserve"> </w:t>
      </w:r>
      <w:r w:rsidRPr="000A5D51">
        <w:rPr>
          <w:rFonts w:cs="David" w:hint="cs"/>
          <w:rtl/>
        </w:rPr>
        <w:t>מינית</w:t>
      </w:r>
      <w:r w:rsidRPr="000A5D51">
        <w:rPr>
          <w:rFonts w:cs="David"/>
          <w:rtl/>
        </w:rPr>
        <w:t xml:space="preserve"> </w:t>
      </w:r>
      <w:r w:rsidRPr="000A5D51">
        <w:rPr>
          <w:rFonts w:cs="David" w:hint="cs"/>
          <w:rtl/>
        </w:rPr>
        <w:t>תוך</w:t>
      </w:r>
      <w:r w:rsidRPr="000A5D51">
        <w:rPr>
          <w:rFonts w:cs="David"/>
          <w:rtl/>
        </w:rPr>
        <w:t xml:space="preserve"> </w:t>
      </w:r>
      <w:r w:rsidRPr="000A5D51">
        <w:rPr>
          <w:rFonts w:cs="David" w:hint="cs"/>
          <w:rtl/>
        </w:rPr>
        <w:t>קידום</w:t>
      </w:r>
      <w:r w:rsidRPr="000A5D51">
        <w:rPr>
          <w:rFonts w:cs="David"/>
          <w:rtl/>
        </w:rPr>
        <w:t xml:space="preserve"> </w:t>
      </w:r>
      <w:r w:rsidRPr="000A5D51">
        <w:rPr>
          <w:rFonts w:cs="David" w:hint="cs"/>
          <w:rtl/>
        </w:rPr>
        <w:t>זכות</w:t>
      </w:r>
      <w:r w:rsidRPr="000A5D51">
        <w:rPr>
          <w:rFonts w:cs="David"/>
          <w:rtl/>
        </w:rPr>
        <w:t xml:space="preserve"> </w:t>
      </w:r>
      <w:r w:rsidRPr="000A5D51">
        <w:rPr>
          <w:rFonts w:cs="David" w:hint="cs"/>
          <w:rtl/>
        </w:rPr>
        <w:t>חברי</w:t>
      </w:r>
      <w:r w:rsidRPr="000A5D51">
        <w:rPr>
          <w:rFonts w:cs="David"/>
          <w:rtl/>
        </w:rPr>
        <w:t xml:space="preserve"> </w:t>
      </w:r>
      <w:r w:rsidRPr="000A5D51">
        <w:rPr>
          <w:rFonts w:cs="David" w:hint="cs"/>
          <w:rtl/>
        </w:rPr>
        <w:t>הקהילה</w:t>
      </w:r>
      <w:r w:rsidRPr="000A5D51">
        <w:rPr>
          <w:rFonts w:cs="David"/>
          <w:rtl/>
        </w:rPr>
        <w:t xml:space="preserve"> </w:t>
      </w:r>
      <w:r w:rsidRPr="000A5D51">
        <w:rPr>
          <w:rFonts w:cs="David" w:hint="cs"/>
          <w:rtl/>
        </w:rPr>
        <w:t>הגאה</w:t>
      </w:r>
      <w:r w:rsidRPr="000A5D51">
        <w:rPr>
          <w:rFonts w:cs="David"/>
          <w:rtl/>
        </w:rPr>
        <w:t xml:space="preserve"> </w:t>
      </w:r>
      <w:r w:rsidRPr="000A5D51">
        <w:rPr>
          <w:rFonts w:cs="David" w:hint="cs"/>
          <w:rtl/>
        </w:rPr>
        <w:t>לשוויון</w:t>
      </w:r>
      <w:r w:rsidRPr="000A5D51">
        <w:rPr>
          <w:rFonts w:cs="David"/>
          <w:rtl/>
        </w:rPr>
        <w:t xml:space="preserve">. </w:t>
      </w:r>
      <w:r w:rsidRPr="000A5D51">
        <w:rPr>
          <w:rFonts w:cs="David" w:hint="cs"/>
          <w:rtl/>
        </w:rPr>
        <w:t>זאת</w:t>
      </w:r>
      <w:r w:rsidRPr="000A5D51">
        <w:rPr>
          <w:rFonts w:cs="David"/>
          <w:rtl/>
        </w:rPr>
        <w:t xml:space="preserve">, </w:t>
      </w:r>
      <w:r w:rsidRPr="000A5D51">
        <w:rPr>
          <w:rFonts w:cs="David" w:hint="cs"/>
          <w:rtl/>
        </w:rPr>
        <w:t>כפי</w:t>
      </w:r>
      <w:r w:rsidRPr="000A5D51">
        <w:rPr>
          <w:rFonts w:cs="David"/>
          <w:rtl/>
        </w:rPr>
        <w:t xml:space="preserve"> </w:t>
      </w:r>
      <w:r w:rsidRPr="000A5D51">
        <w:rPr>
          <w:rFonts w:cs="David" w:hint="cs"/>
          <w:rtl/>
        </w:rPr>
        <w:t>שהדבר</w:t>
      </w:r>
      <w:r w:rsidRPr="000A5D51">
        <w:rPr>
          <w:rFonts w:cs="David"/>
          <w:rtl/>
        </w:rPr>
        <w:t xml:space="preserve"> </w:t>
      </w:r>
      <w:r w:rsidRPr="000A5D51">
        <w:rPr>
          <w:rFonts w:cs="David" w:hint="cs"/>
          <w:rtl/>
        </w:rPr>
        <w:t>בא</w:t>
      </w:r>
      <w:r w:rsidRPr="000A5D51">
        <w:rPr>
          <w:rFonts w:cs="David"/>
          <w:rtl/>
        </w:rPr>
        <w:t xml:space="preserve"> </w:t>
      </w:r>
      <w:r w:rsidRPr="000A5D51">
        <w:rPr>
          <w:rFonts w:cs="David" w:hint="cs"/>
          <w:rtl/>
        </w:rPr>
        <w:t>לידי</w:t>
      </w:r>
      <w:r w:rsidRPr="000A5D51">
        <w:rPr>
          <w:rFonts w:cs="David"/>
          <w:rtl/>
        </w:rPr>
        <w:t xml:space="preserve"> </w:t>
      </w:r>
      <w:r w:rsidRPr="000A5D51">
        <w:rPr>
          <w:rFonts w:cs="David" w:hint="cs"/>
          <w:rtl/>
        </w:rPr>
        <w:t>ביטוי</w:t>
      </w:r>
      <w:r w:rsidRPr="000A5D51">
        <w:rPr>
          <w:rFonts w:cs="David"/>
          <w:rtl/>
        </w:rPr>
        <w:t xml:space="preserve"> </w:t>
      </w:r>
      <w:r w:rsidRPr="000A5D51">
        <w:rPr>
          <w:rFonts w:cs="David" w:hint="cs"/>
          <w:rtl/>
        </w:rPr>
        <w:t>בהתפתחות</w:t>
      </w:r>
      <w:r w:rsidRPr="000A5D51">
        <w:rPr>
          <w:rFonts w:cs="David"/>
          <w:rtl/>
        </w:rPr>
        <w:t xml:space="preserve"> </w:t>
      </w:r>
      <w:r w:rsidRPr="000A5D51">
        <w:rPr>
          <w:rFonts w:cs="David" w:hint="cs"/>
          <w:rtl/>
        </w:rPr>
        <w:t>בפסיקה</w:t>
      </w:r>
      <w:r w:rsidRPr="000A5D51">
        <w:rPr>
          <w:rFonts w:cs="David"/>
          <w:rtl/>
        </w:rPr>
        <w:t xml:space="preserve"> </w:t>
      </w:r>
      <w:r w:rsidRPr="000A5D51">
        <w:rPr>
          <w:rFonts w:cs="David" w:hint="cs"/>
          <w:rtl/>
        </w:rPr>
        <w:t>ובחקיקה</w:t>
      </w:r>
      <w:r w:rsidRPr="000A5D51">
        <w:rPr>
          <w:rFonts w:cs="David"/>
          <w:rtl/>
        </w:rPr>
        <w:t xml:space="preserve"> </w:t>
      </w:r>
      <w:r w:rsidRPr="000A5D51">
        <w:rPr>
          <w:rFonts w:cs="David" w:hint="cs"/>
          <w:rtl/>
        </w:rPr>
        <w:t>שרק</w:t>
      </w:r>
      <w:r w:rsidRPr="000A5D51">
        <w:rPr>
          <w:rFonts w:cs="David"/>
          <w:rtl/>
        </w:rPr>
        <w:t xml:space="preserve"> </w:t>
      </w:r>
      <w:r w:rsidRPr="000A5D51">
        <w:rPr>
          <w:rFonts w:cs="David" w:hint="cs"/>
          <w:rtl/>
        </w:rPr>
        <w:t>חלקה</w:t>
      </w:r>
      <w:r w:rsidRPr="000A5D51">
        <w:rPr>
          <w:rFonts w:cs="David"/>
          <w:rtl/>
        </w:rPr>
        <w:t xml:space="preserve"> </w:t>
      </w:r>
      <w:r w:rsidRPr="000A5D51">
        <w:rPr>
          <w:rFonts w:cs="David" w:hint="cs"/>
          <w:rtl/>
        </w:rPr>
        <w:t>נסקר</w:t>
      </w:r>
      <w:r w:rsidRPr="000A5D51">
        <w:rPr>
          <w:rFonts w:cs="David"/>
          <w:rtl/>
        </w:rPr>
        <w:t xml:space="preserve"> </w:t>
      </w:r>
      <w:r w:rsidRPr="000A5D51">
        <w:rPr>
          <w:rFonts w:cs="David" w:hint="cs"/>
          <w:rtl/>
        </w:rPr>
        <w:t>לעיל</w:t>
      </w:r>
      <w:r w:rsidRPr="000A5D51">
        <w:rPr>
          <w:rFonts w:cs="David"/>
          <w:rtl/>
        </w:rPr>
        <w:t xml:space="preserve"> (</w:t>
      </w:r>
      <w:r w:rsidRPr="000A5D51">
        <w:rPr>
          <w:rFonts w:cs="David" w:hint="cs"/>
          <w:rtl/>
        </w:rPr>
        <w:t>ראו</w:t>
      </w:r>
      <w:r w:rsidRPr="000A5D51">
        <w:rPr>
          <w:rFonts w:cs="David"/>
          <w:rtl/>
        </w:rPr>
        <w:t xml:space="preserve">: </w:t>
      </w:r>
      <w:r w:rsidRPr="00160B30">
        <w:rPr>
          <w:rFonts w:cs="David" w:hint="cs"/>
          <w:rtl/>
        </w:rPr>
        <w:t>אלון</w:t>
      </w:r>
      <w:r w:rsidRPr="00160B30">
        <w:rPr>
          <w:rFonts w:cs="David"/>
          <w:rtl/>
        </w:rPr>
        <w:t xml:space="preserve"> </w:t>
      </w:r>
      <w:hyperlink r:id="rId20" w:history="1">
        <w:r w:rsidRPr="00160B30">
          <w:rPr>
            <w:rStyle w:val="Hyperlink"/>
            <w:rFonts w:cs="David"/>
            <w:color w:val="auto"/>
            <w:u w:val="none"/>
            <w:rtl/>
          </w:rPr>
          <w:t>הראל "עלייתה ונפילתה של המהפכה</w:t>
        </w:r>
      </w:hyperlink>
      <w:r w:rsidR="00160B30">
        <w:rPr>
          <w:rFonts w:cs="David" w:hint="cs"/>
          <w:rtl/>
        </w:rPr>
        <w:t xml:space="preserve"> </w:t>
      </w:r>
      <w:r w:rsidRPr="000A5D51">
        <w:rPr>
          <w:rFonts w:cs="David" w:hint="cs"/>
          <w:rtl/>
        </w:rPr>
        <w:t>המשפטית</w:t>
      </w:r>
      <w:r w:rsidRPr="000A5D51">
        <w:rPr>
          <w:rFonts w:cs="David"/>
          <w:rtl/>
        </w:rPr>
        <w:t xml:space="preserve"> </w:t>
      </w:r>
      <w:r w:rsidRPr="000A5D51">
        <w:rPr>
          <w:rFonts w:cs="David" w:hint="cs"/>
          <w:rtl/>
        </w:rPr>
        <w:t>ההומוסקסואלית</w:t>
      </w:r>
      <w:r w:rsidRPr="000A5D51">
        <w:rPr>
          <w:rFonts w:cs="David"/>
          <w:rtl/>
        </w:rPr>
        <w:t xml:space="preserve">" </w:t>
      </w:r>
      <w:r w:rsidRPr="000A5D51">
        <w:rPr>
          <w:rFonts w:cs="David" w:hint="cs"/>
          <w:rtl/>
        </w:rPr>
        <w:t>המשפט</w:t>
      </w:r>
      <w:r w:rsidRPr="000A5D51">
        <w:rPr>
          <w:rFonts w:cs="David"/>
          <w:rtl/>
        </w:rPr>
        <w:t xml:space="preserve"> </w:t>
      </w:r>
      <w:r w:rsidRPr="000A5D51">
        <w:rPr>
          <w:rFonts w:cs="David" w:hint="cs"/>
          <w:rtl/>
        </w:rPr>
        <w:t>ז</w:t>
      </w:r>
      <w:r w:rsidRPr="000A5D51">
        <w:rPr>
          <w:rFonts w:cs="David"/>
          <w:rtl/>
        </w:rPr>
        <w:t xml:space="preserve"> 195 (2002); </w:t>
      </w:r>
      <w:r w:rsidRPr="000A5D51">
        <w:rPr>
          <w:rFonts w:cs="David" w:hint="cs"/>
          <w:rtl/>
        </w:rPr>
        <w:t>מנחם</w:t>
      </w:r>
      <w:r w:rsidRPr="000A5D51">
        <w:rPr>
          <w:rFonts w:cs="David"/>
          <w:rtl/>
        </w:rPr>
        <w:t xml:space="preserve"> </w:t>
      </w:r>
      <w:r w:rsidRPr="000A5D51">
        <w:rPr>
          <w:rFonts w:cs="David" w:hint="cs"/>
          <w:rtl/>
        </w:rPr>
        <w:t>מאוטנר</w:t>
      </w:r>
      <w:r w:rsidRPr="000A5D51">
        <w:rPr>
          <w:rFonts w:cs="David"/>
          <w:rtl/>
        </w:rPr>
        <w:t xml:space="preserve"> </w:t>
      </w:r>
      <w:r w:rsidRPr="000A5D51">
        <w:rPr>
          <w:rFonts w:cs="David" w:hint="cs"/>
          <w:rtl/>
        </w:rPr>
        <w:t>משפט</w:t>
      </w:r>
      <w:r w:rsidRPr="000A5D51">
        <w:rPr>
          <w:rFonts w:cs="David"/>
          <w:rtl/>
        </w:rPr>
        <w:t xml:space="preserve"> </w:t>
      </w:r>
      <w:r w:rsidRPr="000A5D51">
        <w:rPr>
          <w:rFonts w:cs="David" w:hint="cs"/>
          <w:rtl/>
        </w:rPr>
        <w:t>ותרבות</w:t>
      </w:r>
      <w:r w:rsidRPr="000A5D51">
        <w:rPr>
          <w:rFonts w:cs="David"/>
          <w:rtl/>
        </w:rPr>
        <w:t xml:space="preserve"> </w:t>
      </w:r>
      <w:r w:rsidRPr="000A5D51">
        <w:rPr>
          <w:rFonts w:cs="David" w:hint="cs"/>
          <w:rtl/>
        </w:rPr>
        <w:t>בישראל</w:t>
      </w:r>
      <w:r w:rsidRPr="000A5D51">
        <w:rPr>
          <w:rFonts w:cs="David"/>
          <w:rtl/>
        </w:rPr>
        <w:t xml:space="preserve"> </w:t>
      </w:r>
      <w:r w:rsidRPr="000A5D51">
        <w:rPr>
          <w:rFonts w:cs="David" w:hint="cs"/>
          <w:rtl/>
        </w:rPr>
        <w:t>בפתח</w:t>
      </w:r>
      <w:r w:rsidRPr="000A5D51">
        <w:rPr>
          <w:rFonts w:cs="David"/>
          <w:rtl/>
        </w:rPr>
        <w:t xml:space="preserve"> </w:t>
      </w:r>
      <w:r w:rsidRPr="000A5D51">
        <w:rPr>
          <w:rFonts w:cs="David" w:hint="cs"/>
          <w:rtl/>
        </w:rPr>
        <w:t>המאה</w:t>
      </w:r>
      <w:r w:rsidRPr="000A5D51">
        <w:rPr>
          <w:rFonts w:cs="David"/>
          <w:rtl/>
        </w:rPr>
        <w:t xml:space="preserve"> </w:t>
      </w:r>
      <w:r w:rsidRPr="000A5D51">
        <w:rPr>
          <w:rFonts w:cs="David" w:hint="cs"/>
          <w:rtl/>
        </w:rPr>
        <w:t>העשרים</w:t>
      </w:r>
      <w:r w:rsidRPr="000A5D51">
        <w:rPr>
          <w:rFonts w:cs="David"/>
          <w:rtl/>
        </w:rPr>
        <w:t xml:space="preserve"> </w:t>
      </w:r>
      <w:r w:rsidRPr="000A5D51">
        <w:rPr>
          <w:rFonts w:cs="David" w:hint="cs"/>
          <w:rtl/>
        </w:rPr>
        <w:t>ואחת</w:t>
      </w:r>
      <w:r w:rsidRPr="000A5D51">
        <w:rPr>
          <w:rFonts w:cs="David"/>
          <w:rtl/>
        </w:rPr>
        <w:t xml:space="preserve"> 231-230 (2008));</w:t>
      </w:r>
      <w:r w:rsidRPr="000A5D51">
        <w:rPr>
          <w:rFonts w:cs="David"/>
        </w:rPr>
        <w:t>Amit Kama “From Terra Incognita to Terra Firma: The Logbook of the Voyage of Gay Men’s Community into the Israeli Public Sphere” 38(4) Journal of Homosexuality 133-162 (2000)</w:t>
      </w:r>
      <w:r w:rsidRPr="000A5D51">
        <w:rPr>
          <w:rFonts w:cs="David"/>
          <w:rtl/>
        </w:rPr>
        <w:t xml:space="preserve">). </w:t>
      </w:r>
      <w:r w:rsidRPr="000A5D51">
        <w:rPr>
          <w:rFonts w:cs="David" w:hint="cs"/>
          <w:rtl/>
        </w:rPr>
        <w:lastRenderedPageBreak/>
        <w:t>ההתייחסות</w:t>
      </w:r>
      <w:r w:rsidRPr="000A5D51">
        <w:rPr>
          <w:rFonts w:cs="David"/>
          <w:rtl/>
        </w:rPr>
        <w:t xml:space="preserve"> </w:t>
      </w:r>
      <w:r w:rsidRPr="000A5D51">
        <w:rPr>
          <w:rFonts w:cs="David" w:hint="cs"/>
          <w:rtl/>
        </w:rPr>
        <w:t>לחברי</w:t>
      </w:r>
      <w:r w:rsidRPr="000A5D51">
        <w:rPr>
          <w:rFonts w:cs="David"/>
          <w:rtl/>
        </w:rPr>
        <w:t xml:space="preserve"> </w:t>
      </w:r>
      <w:r w:rsidRPr="000A5D51">
        <w:rPr>
          <w:rFonts w:cs="David" w:hint="cs"/>
          <w:rtl/>
        </w:rPr>
        <w:t>הקהילה</w:t>
      </w:r>
      <w:r w:rsidRPr="000A5D51">
        <w:rPr>
          <w:rFonts w:cs="David"/>
          <w:rtl/>
        </w:rPr>
        <w:t xml:space="preserve"> </w:t>
      </w:r>
      <w:r w:rsidRPr="000A5D51">
        <w:rPr>
          <w:rFonts w:cs="David" w:hint="cs"/>
          <w:rtl/>
        </w:rPr>
        <w:t>הגאה</w:t>
      </w:r>
      <w:r w:rsidRPr="000A5D51">
        <w:rPr>
          <w:rFonts w:cs="David"/>
          <w:rtl/>
        </w:rPr>
        <w:t xml:space="preserve"> </w:t>
      </w:r>
      <w:r w:rsidRPr="000A5D51">
        <w:rPr>
          <w:rFonts w:cs="David" w:hint="cs"/>
          <w:rtl/>
        </w:rPr>
        <w:t>היא</w:t>
      </w:r>
      <w:r w:rsidRPr="000A5D51">
        <w:rPr>
          <w:rFonts w:cs="David"/>
          <w:rtl/>
        </w:rPr>
        <w:t xml:space="preserve"> </w:t>
      </w:r>
      <w:r w:rsidRPr="000A5D51">
        <w:rPr>
          <w:rFonts w:cs="David" w:hint="cs"/>
          <w:rtl/>
        </w:rPr>
        <w:t>אחד</w:t>
      </w:r>
      <w:r w:rsidRPr="000A5D51">
        <w:rPr>
          <w:rFonts w:cs="David"/>
          <w:rtl/>
        </w:rPr>
        <w:t xml:space="preserve"> </w:t>
      </w:r>
      <w:r w:rsidRPr="000A5D51">
        <w:rPr>
          <w:rFonts w:cs="David" w:hint="cs"/>
          <w:rtl/>
        </w:rPr>
        <w:t>המדדים</w:t>
      </w:r>
      <w:r w:rsidRPr="000A5D51">
        <w:rPr>
          <w:rFonts w:cs="David"/>
          <w:rtl/>
        </w:rPr>
        <w:t xml:space="preserve"> </w:t>
      </w:r>
      <w:r w:rsidRPr="000A5D51">
        <w:rPr>
          <w:rFonts w:cs="David" w:hint="cs"/>
          <w:rtl/>
        </w:rPr>
        <w:t>להיותה</w:t>
      </w:r>
      <w:r w:rsidRPr="000A5D51">
        <w:rPr>
          <w:rFonts w:cs="David"/>
          <w:rtl/>
        </w:rPr>
        <w:t xml:space="preserve"> </w:t>
      </w:r>
      <w:r w:rsidRPr="000A5D51">
        <w:rPr>
          <w:rFonts w:cs="David" w:hint="cs"/>
          <w:rtl/>
        </w:rPr>
        <w:t>של</w:t>
      </w:r>
      <w:r w:rsidRPr="000A5D51">
        <w:rPr>
          <w:rFonts w:cs="David"/>
          <w:rtl/>
        </w:rPr>
        <w:t xml:space="preserve"> </w:t>
      </w:r>
      <w:r w:rsidRPr="000A5D51">
        <w:rPr>
          <w:rFonts w:cs="David" w:hint="cs"/>
          <w:rtl/>
        </w:rPr>
        <w:t>מדינת</w:t>
      </w:r>
      <w:r w:rsidRPr="000A5D51">
        <w:rPr>
          <w:rFonts w:cs="David"/>
          <w:rtl/>
        </w:rPr>
        <w:t xml:space="preserve"> </w:t>
      </w:r>
      <w:r w:rsidRPr="000A5D51">
        <w:rPr>
          <w:rFonts w:cs="David" w:hint="cs"/>
          <w:rtl/>
        </w:rPr>
        <w:t>ישראל</w:t>
      </w:r>
      <w:r w:rsidRPr="000A5D51">
        <w:rPr>
          <w:rFonts w:cs="David"/>
          <w:rtl/>
        </w:rPr>
        <w:t xml:space="preserve"> </w:t>
      </w:r>
      <w:r w:rsidRPr="000A5D51">
        <w:rPr>
          <w:rFonts w:cs="David" w:hint="cs"/>
          <w:rtl/>
        </w:rPr>
        <w:t>מדינה</w:t>
      </w:r>
      <w:r w:rsidRPr="000A5D51">
        <w:rPr>
          <w:rFonts w:cs="David"/>
          <w:rtl/>
        </w:rPr>
        <w:t xml:space="preserve"> </w:t>
      </w:r>
      <w:r w:rsidRPr="000A5D51">
        <w:rPr>
          <w:rFonts w:cs="David" w:hint="cs"/>
          <w:rtl/>
        </w:rPr>
        <w:t>ליברלית</w:t>
      </w:r>
      <w:r w:rsidRPr="000A5D51">
        <w:rPr>
          <w:rFonts w:cs="David"/>
          <w:rtl/>
        </w:rPr>
        <w:t>-</w:t>
      </w:r>
      <w:r w:rsidRPr="000A5D51">
        <w:rPr>
          <w:rFonts w:cs="David" w:hint="cs"/>
          <w:rtl/>
        </w:rPr>
        <w:t>דמוקרטית</w:t>
      </w:r>
      <w:r w:rsidRPr="000A5D51">
        <w:rPr>
          <w:rFonts w:cs="David"/>
          <w:rtl/>
        </w:rPr>
        <w:t xml:space="preserve">, </w:t>
      </w:r>
      <w:r w:rsidRPr="000A5D51">
        <w:rPr>
          <w:rFonts w:cs="David" w:hint="cs"/>
          <w:rtl/>
        </w:rPr>
        <w:t>להבדיל</w:t>
      </w:r>
      <w:r w:rsidRPr="000A5D51">
        <w:rPr>
          <w:rFonts w:cs="David"/>
          <w:rtl/>
        </w:rPr>
        <w:t xml:space="preserve"> </w:t>
      </w:r>
      <w:r w:rsidRPr="000A5D51">
        <w:rPr>
          <w:rFonts w:cs="David" w:hint="cs"/>
          <w:rtl/>
        </w:rPr>
        <w:t>מהמצב</w:t>
      </w:r>
      <w:r w:rsidRPr="000A5D51">
        <w:rPr>
          <w:rFonts w:cs="David"/>
          <w:rtl/>
        </w:rPr>
        <w:t xml:space="preserve"> </w:t>
      </w:r>
      <w:r w:rsidRPr="000A5D51">
        <w:rPr>
          <w:rFonts w:cs="David" w:hint="cs"/>
          <w:rtl/>
        </w:rPr>
        <w:t>ברובן</w:t>
      </w:r>
      <w:r w:rsidRPr="000A5D51">
        <w:rPr>
          <w:rFonts w:cs="David"/>
          <w:rtl/>
        </w:rPr>
        <w:t>-</w:t>
      </w:r>
      <w:r w:rsidRPr="000A5D51">
        <w:rPr>
          <w:rFonts w:cs="David" w:hint="cs"/>
          <w:rtl/>
        </w:rPr>
        <w:t>ככולן</w:t>
      </w:r>
      <w:r w:rsidRPr="000A5D51">
        <w:rPr>
          <w:rFonts w:cs="David"/>
          <w:rtl/>
        </w:rPr>
        <w:t xml:space="preserve"> </w:t>
      </w:r>
      <w:r w:rsidRPr="000A5D51">
        <w:rPr>
          <w:rFonts w:cs="David" w:hint="cs"/>
          <w:rtl/>
        </w:rPr>
        <w:t>של</w:t>
      </w:r>
      <w:r w:rsidRPr="000A5D51">
        <w:rPr>
          <w:rFonts w:cs="David"/>
          <w:rtl/>
        </w:rPr>
        <w:t xml:space="preserve"> </w:t>
      </w:r>
      <w:r w:rsidRPr="000A5D51">
        <w:rPr>
          <w:rFonts w:cs="David" w:hint="cs"/>
          <w:rtl/>
        </w:rPr>
        <w:t>מדינות</w:t>
      </w:r>
      <w:r w:rsidRPr="000A5D51">
        <w:rPr>
          <w:rFonts w:cs="David"/>
          <w:rtl/>
        </w:rPr>
        <w:t xml:space="preserve"> </w:t>
      </w:r>
      <w:r w:rsidRPr="000A5D51">
        <w:rPr>
          <w:rFonts w:cs="David" w:hint="cs"/>
          <w:rtl/>
        </w:rPr>
        <w:t>המזרח</w:t>
      </w:r>
      <w:r w:rsidRPr="000A5D51">
        <w:rPr>
          <w:rFonts w:cs="David"/>
          <w:rtl/>
        </w:rPr>
        <w:t xml:space="preserve"> </w:t>
      </w:r>
      <w:r w:rsidRPr="000A5D51">
        <w:rPr>
          <w:rFonts w:cs="David" w:hint="cs"/>
          <w:rtl/>
        </w:rPr>
        <w:t>התיכון</w:t>
      </w:r>
      <w:r w:rsidRPr="000A5D51">
        <w:rPr>
          <w:rFonts w:cs="David"/>
          <w:rtl/>
        </w:rPr>
        <w:t xml:space="preserve"> </w:t>
      </w:r>
      <w:r w:rsidRPr="000A5D51">
        <w:rPr>
          <w:rFonts w:cs="David" w:hint="cs"/>
          <w:rtl/>
        </w:rPr>
        <w:t>הקרובות</w:t>
      </w:r>
      <w:r w:rsidRPr="000A5D51">
        <w:rPr>
          <w:rFonts w:cs="David"/>
          <w:rtl/>
        </w:rPr>
        <w:t xml:space="preserve"> </w:t>
      </w:r>
      <w:r w:rsidRPr="000A5D51">
        <w:rPr>
          <w:rFonts w:cs="David" w:hint="cs"/>
          <w:rtl/>
        </w:rPr>
        <w:t>והרחוקות</w:t>
      </w:r>
      <w:r w:rsidRPr="000A5D51">
        <w:rPr>
          <w:rFonts w:cs="David"/>
          <w:rtl/>
        </w:rPr>
        <w:t xml:space="preserve">, </w:t>
      </w:r>
      <w:r w:rsidRPr="000A5D51">
        <w:rPr>
          <w:rFonts w:cs="David" w:hint="cs"/>
          <w:rtl/>
        </w:rPr>
        <w:t>בהן</w:t>
      </w:r>
      <w:r w:rsidRPr="000A5D51">
        <w:rPr>
          <w:rFonts w:cs="David"/>
          <w:rtl/>
        </w:rPr>
        <w:t xml:space="preserve"> </w:t>
      </w:r>
      <w:r w:rsidRPr="000A5D51">
        <w:rPr>
          <w:rFonts w:cs="David" w:hint="cs"/>
          <w:rtl/>
        </w:rPr>
        <w:t>נרדפים</w:t>
      </w:r>
      <w:r w:rsidRPr="000A5D51">
        <w:rPr>
          <w:rFonts w:cs="David"/>
          <w:rtl/>
        </w:rPr>
        <w:t xml:space="preserve"> </w:t>
      </w:r>
      <w:r w:rsidRPr="000A5D51">
        <w:rPr>
          <w:rFonts w:cs="David" w:hint="cs"/>
          <w:rtl/>
        </w:rPr>
        <w:t>חברי</w:t>
      </w:r>
      <w:r w:rsidRPr="000A5D51">
        <w:rPr>
          <w:rFonts w:cs="David"/>
          <w:rtl/>
        </w:rPr>
        <w:t xml:space="preserve"> </w:t>
      </w:r>
      <w:r w:rsidRPr="000A5D51">
        <w:rPr>
          <w:rFonts w:cs="David" w:hint="cs"/>
          <w:rtl/>
        </w:rPr>
        <w:t>הקהילה</w:t>
      </w:r>
      <w:r w:rsidRPr="000A5D51">
        <w:rPr>
          <w:rFonts w:cs="David"/>
          <w:rtl/>
        </w:rPr>
        <w:t xml:space="preserve"> </w:t>
      </w:r>
      <w:r w:rsidRPr="000A5D51">
        <w:rPr>
          <w:rFonts w:cs="David" w:hint="cs"/>
          <w:rtl/>
        </w:rPr>
        <w:t>הגאה</w:t>
      </w:r>
      <w:r w:rsidRPr="000A5D51">
        <w:rPr>
          <w:rFonts w:cs="David"/>
          <w:rtl/>
        </w:rPr>
        <w:t xml:space="preserve">, </w:t>
      </w:r>
      <w:r w:rsidRPr="000A5D51">
        <w:rPr>
          <w:rFonts w:cs="David" w:hint="cs"/>
          <w:rtl/>
        </w:rPr>
        <w:t>הן</w:t>
      </w:r>
      <w:r w:rsidRPr="000A5D51">
        <w:rPr>
          <w:rFonts w:cs="David"/>
          <w:rtl/>
        </w:rPr>
        <w:t xml:space="preserve"> </w:t>
      </w:r>
      <w:r w:rsidRPr="000A5D51">
        <w:rPr>
          <w:rFonts w:cs="David" w:hint="cs"/>
          <w:rtl/>
        </w:rPr>
        <w:t>על</w:t>
      </w:r>
      <w:r w:rsidRPr="000A5D51">
        <w:rPr>
          <w:rFonts w:cs="David"/>
          <w:rtl/>
        </w:rPr>
        <w:t xml:space="preserve"> </w:t>
      </w:r>
      <w:r w:rsidRPr="000A5D51">
        <w:rPr>
          <w:rFonts w:cs="David" w:hint="cs"/>
          <w:rtl/>
        </w:rPr>
        <w:t>ידי</w:t>
      </w:r>
      <w:r w:rsidRPr="000A5D51">
        <w:rPr>
          <w:rFonts w:cs="David"/>
          <w:rtl/>
        </w:rPr>
        <w:t xml:space="preserve"> </w:t>
      </w:r>
      <w:r w:rsidRPr="000A5D51">
        <w:rPr>
          <w:rFonts w:cs="David" w:hint="cs"/>
          <w:rtl/>
        </w:rPr>
        <w:t>השלטונות</w:t>
      </w:r>
      <w:r w:rsidRPr="000A5D51">
        <w:rPr>
          <w:rFonts w:cs="David"/>
          <w:rtl/>
        </w:rPr>
        <w:t xml:space="preserve"> </w:t>
      </w:r>
      <w:r w:rsidRPr="000A5D51">
        <w:rPr>
          <w:rFonts w:cs="David" w:hint="cs"/>
          <w:rtl/>
        </w:rPr>
        <w:t>והן</w:t>
      </w:r>
      <w:r w:rsidRPr="000A5D51">
        <w:rPr>
          <w:rFonts w:cs="David"/>
          <w:rtl/>
        </w:rPr>
        <w:t xml:space="preserve"> </w:t>
      </w:r>
      <w:r w:rsidRPr="000A5D51">
        <w:rPr>
          <w:rFonts w:cs="David" w:hint="cs"/>
          <w:rtl/>
        </w:rPr>
        <w:t>על</w:t>
      </w:r>
      <w:r w:rsidRPr="000A5D51">
        <w:rPr>
          <w:rFonts w:cs="David"/>
          <w:rtl/>
        </w:rPr>
        <w:t xml:space="preserve"> </w:t>
      </w:r>
      <w:r w:rsidRPr="000A5D51">
        <w:rPr>
          <w:rFonts w:cs="David" w:hint="cs"/>
          <w:rtl/>
        </w:rPr>
        <w:t>ידי</w:t>
      </w:r>
      <w:r w:rsidRPr="000A5D51">
        <w:rPr>
          <w:rFonts w:cs="David"/>
          <w:rtl/>
        </w:rPr>
        <w:t xml:space="preserve"> </w:t>
      </w:r>
      <w:r w:rsidRPr="000A5D51">
        <w:rPr>
          <w:rFonts w:cs="David" w:hint="cs"/>
          <w:rtl/>
        </w:rPr>
        <w:t>החברה</w:t>
      </w:r>
      <w:r w:rsidRPr="000A5D51">
        <w:rPr>
          <w:rFonts w:cs="David"/>
          <w:rtl/>
        </w:rPr>
        <w:t xml:space="preserve"> ." </w:t>
      </w:r>
    </w:p>
    <w:p w14:paraId="218945F2" w14:textId="77777777" w:rsidR="001E585F" w:rsidRDefault="001E585F" w:rsidP="001E585F">
      <w:pPr>
        <w:pStyle w:val="a3"/>
        <w:tabs>
          <w:tab w:val="num" w:pos="540"/>
        </w:tabs>
        <w:autoSpaceDE/>
        <w:autoSpaceDN/>
        <w:spacing w:before="240" w:line="360" w:lineRule="auto"/>
        <w:ind w:left="510"/>
        <w:jc w:val="both"/>
        <w:rPr>
          <w:rFonts w:cs="David"/>
        </w:rPr>
      </w:pPr>
    </w:p>
    <w:p w14:paraId="2A4D24DD" w14:textId="0109ACBA" w:rsidR="001E585F" w:rsidRDefault="001E585F" w:rsidP="001E585F">
      <w:pPr>
        <w:pStyle w:val="a3"/>
        <w:numPr>
          <w:ilvl w:val="0"/>
          <w:numId w:val="4"/>
        </w:numPr>
        <w:tabs>
          <w:tab w:val="num" w:pos="540"/>
        </w:tabs>
        <w:autoSpaceDE/>
        <w:autoSpaceDN/>
        <w:spacing w:before="240" w:line="360" w:lineRule="auto"/>
        <w:jc w:val="both"/>
        <w:rPr>
          <w:rFonts w:cs="David"/>
        </w:rPr>
      </w:pPr>
      <w:r>
        <w:rPr>
          <w:rFonts w:cs="David" w:hint="cs"/>
          <w:rtl/>
        </w:rPr>
        <w:t>הכרת המחוקק והרשות השופטת בצורך להשוות את מעמדם של זוגות ידועים בציבור וזוגות להט"ב למעמדם של זוגות נשואים</w:t>
      </w:r>
      <w:r w:rsidR="00A5473C">
        <w:rPr>
          <w:rFonts w:cs="David" w:hint="cs"/>
          <w:rtl/>
        </w:rPr>
        <w:t>, ולהפריד בין שאלת רישום הנישואים לשאלת ההטבות להן זכאים בני הזוג</w:t>
      </w:r>
      <w:r>
        <w:rPr>
          <w:rFonts w:cs="David" w:hint="cs"/>
          <w:rtl/>
        </w:rPr>
        <w:t>, מחדדת אף היא את חוסר חוקיותה של התנהלותה של המשיבה.</w:t>
      </w:r>
    </w:p>
    <w:p w14:paraId="09F61D9C" w14:textId="77777777" w:rsidR="00A5473C" w:rsidRPr="00B72859" w:rsidRDefault="00A5473C" w:rsidP="00B72859">
      <w:pPr>
        <w:pStyle w:val="a3"/>
        <w:rPr>
          <w:rFonts w:cs="David"/>
          <w:rtl/>
        </w:rPr>
      </w:pPr>
    </w:p>
    <w:p w14:paraId="25CA3B0A" w14:textId="77777777" w:rsidR="00A5473C" w:rsidRPr="0091232C" w:rsidRDefault="00A5473C" w:rsidP="00B72859">
      <w:pPr>
        <w:pStyle w:val="a3"/>
        <w:tabs>
          <w:tab w:val="num" w:pos="540"/>
        </w:tabs>
        <w:autoSpaceDE/>
        <w:autoSpaceDN/>
        <w:spacing w:before="240" w:line="360" w:lineRule="auto"/>
        <w:ind w:left="510"/>
        <w:jc w:val="both"/>
        <w:rPr>
          <w:rFonts w:cs="David"/>
          <w:rtl/>
        </w:rPr>
      </w:pPr>
    </w:p>
    <w:p w14:paraId="424D94D5" w14:textId="77777777" w:rsidR="00631C32" w:rsidRPr="002A5F1F" w:rsidRDefault="00E1756F" w:rsidP="00E1756F">
      <w:pPr>
        <w:rPr>
          <w:rFonts w:ascii="David" w:hAnsi="David" w:cs="David"/>
          <w:b/>
          <w:bCs/>
          <w:u w:val="single"/>
          <w:rtl/>
        </w:rPr>
      </w:pPr>
      <w:r w:rsidRPr="002A5F1F">
        <w:rPr>
          <w:rFonts w:ascii="David" w:hAnsi="David" w:cs="David" w:hint="cs"/>
          <w:b/>
          <w:bCs/>
          <w:u w:val="single"/>
          <w:rtl/>
        </w:rPr>
        <w:t>האפליה במישור רישום הנישואים אינה מצדיקה את האפליה</w:t>
      </w:r>
      <w:r w:rsidR="002A5F1F">
        <w:rPr>
          <w:rFonts w:ascii="David" w:hAnsi="David" w:cs="David" w:hint="cs"/>
          <w:b/>
          <w:bCs/>
          <w:u w:val="single"/>
          <w:rtl/>
        </w:rPr>
        <w:t xml:space="preserve"> בהקצאת משאבים עירוניים</w:t>
      </w:r>
      <w:r w:rsidRPr="002A5F1F">
        <w:rPr>
          <w:rFonts w:ascii="David" w:hAnsi="David" w:cs="David" w:hint="cs"/>
          <w:b/>
          <w:bCs/>
          <w:u w:val="single"/>
          <w:rtl/>
        </w:rPr>
        <w:t xml:space="preserve"> </w:t>
      </w:r>
    </w:p>
    <w:p w14:paraId="355399EE" w14:textId="77777777" w:rsidR="00E1756F" w:rsidRDefault="00E1756F" w:rsidP="00631C32">
      <w:pPr>
        <w:pStyle w:val="a3"/>
        <w:rPr>
          <w:rFonts w:ascii="David" w:hAnsi="David" w:cs="David"/>
          <w:rtl/>
        </w:rPr>
      </w:pPr>
    </w:p>
    <w:p w14:paraId="6344FE2D" w14:textId="77777777" w:rsidR="00EE5090" w:rsidRDefault="00EE5090" w:rsidP="00EE5090">
      <w:pPr>
        <w:pStyle w:val="a3"/>
        <w:numPr>
          <w:ilvl w:val="0"/>
          <w:numId w:val="4"/>
        </w:numPr>
        <w:tabs>
          <w:tab w:val="num" w:pos="540"/>
        </w:tabs>
        <w:autoSpaceDE/>
        <w:autoSpaceDN/>
        <w:spacing w:before="240" w:line="360" w:lineRule="auto"/>
        <w:jc w:val="both"/>
        <w:rPr>
          <w:rFonts w:cs="David"/>
        </w:rPr>
      </w:pPr>
      <w:r>
        <w:rPr>
          <w:rFonts w:cs="David" w:hint="cs"/>
          <w:rtl/>
        </w:rPr>
        <w:t>אשר לטענה כי המדיניות המפלה של המשיבה נובעת מהנפקות המשפטית השונה של טקסי הנישואים הנערכים מחוץ לרבנות, נדגיש כי בית המשפט העליון דחה במפורש טענה זו.</w:t>
      </w:r>
    </w:p>
    <w:p w14:paraId="68D7DF75" w14:textId="77777777" w:rsidR="00046F5A" w:rsidRDefault="0084608A" w:rsidP="0084608A">
      <w:pPr>
        <w:pStyle w:val="a3"/>
        <w:numPr>
          <w:ilvl w:val="0"/>
          <w:numId w:val="4"/>
        </w:numPr>
        <w:tabs>
          <w:tab w:val="num" w:pos="540"/>
        </w:tabs>
        <w:autoSpaceDE/>
        <w:autoSpaceDN/>
        <w:spacing w:before="240" w:line="360" w:lineRule="auto"/>
        <w:jc w:val="both"/>
        <w:rPr>
          <w:rFonts w:cs="David"/>
        </w:rPr>
      </w:pPr>
      <w:r>
        <w:rPr>
          <w:rFonts w:cs="David" w:hint="cs"/>
          <w:rtl/>
        </w:rPr>
        <w:t xml:space="preserve">בענין </w:t>
      </w:r>
      <w:r>
        <w:rPr>
          <w:rFonts w:cs="David" w:hint="cs"/>
          <w:b/>
          <w:bCs/>
          <w:rtl/>
        </w:rPr>
        <w:t xml:space="preserve">התנועה ליהדות מתקדמת, </w:t>
      </w:r>
      <w:r w:rsidR="00046F5A">
        <w:rPr>
          <w:rFonts w:cs="David" w:hint="cs"/>
          <w:rtl/>
        </w:rPr>
        <w:t xml:space="preserve">טענה </w:t>
      </w:r>
      <w:r>
        <w:rPr>
          <w:rFonts w:cs="David" w:hint="cs"/>
          <w:rtl/>
        </w:rPr>
        <w:t xml:space="preserve">כאמור </w:t>
      </w:r>
      <w:r w:rsidR="00046F5A">
        <w:rPr>
          <w:rFonts w:cs="David" w:hint="cs"/>
          <w:rtl/>
        </w:rPr>
        <w:t>המדינה כי ההבדל שקיים בנפקויות המשפטיות בין גיור רפורמי לגיור אורתודוכסי מצדיקים את ההבחנה בין שני סוגי הגיורים. בית המשפט העליון דחה טענה זו והורה למדינה לממן אף את כתות ההכנה לגיור של התנועה הרפורמית:</w:t>
      </w:r>
    </w:p>
    <w:p w14:paraId="3CA486E9" w14:textId="77777777" w:rsidR="00046F5A" w:rsidRPr="0084608A" w:rsidRDefault="00046F5A" w:rsidP="00046F5A">
      <w:pPr>
        <w:pStyle w:val="a3"/>
        <w:spacing w:after="240" w:line="312" w:lineRule="exact"/>
        <w:ind w:left="1360" w:right="851"/>
        <w:jc w:val="both"/>
        <w:rPr>
          <w:rFonts w:ascii="David" w:hAnsi="David" w:cs="David"/>
          <w:color w:val="000000"/>
          <w:spacing w:val="10"/>
          <w:rtl/>
        </w:rPr>
      </w:pPr>
      <w:r w:rsidRPr="0084608A">
        <w:rPr>
          <w:rFonts w:ascii="David" w:hAnsi="David" w:cs="David"/>
          <w:color w:val="000000"/>
          <w:spacing w:val="10"/>
          <w:rtl/>
        </w:rPr>
        <w:t xml:space="preserve">"סוגיית המשמעויות המשפטיות והחברתיות של הליכי הגיור האורתודוכסיים למול הליכי הגיור הרפורמים והקונסרבטיביים הינה שאלה מורכבת, הנושאת על גבה מטען ערכי, דתי וחברתי רב משקל. היא מעלה לדיון היבטים רבים, שחלקם אף ניצבו בעבר בפני בית משפט זה בהקשרים שונים... קיימים היבטים נוספים בעלי רגישות חברתית-דתית רבה בהם ניתן להצביע על פערים במשמעויות שמעניק הגיור האורתודוכסי לעומת הגיור הרפורמי והאורתודוכסי, למשל, בהיבטים הנוגעים לדיני המעמד האישי. ברם, </w:t>
      </w:r>
      <w:r w:rsidRPr="0084608A">
        <w:rPr>
          <w:rFonts w:ascii="David" w:hAnsi="David" w:cs="David"/>
          <w:b/>
          <w:bCs/>
          <w:color w:val="000000"/>
          <w:spacing w:val="10"/>
          <w:rtl/>
        </w:rPr>
        <w:t>היבטים אלו אינם מעניינה של העתירה שלפנינו, וממילא אין אנו נדרשים להביע כל עמדה בעניינם.</w:t>
      </w:r>
    </w:p>
    <w:p w14:paraId="0ED878B5" w14:textId="77777777" w:rsidR="00046F5A" w:rsidRPr="0084608A" w:rsidRDefault="00046F5A" w:rsidP="00046F5A">
      <w:pPr>
        <w:pStyle w:val="a3"/>
        <w:spacing w:after="240" w:line="312" w:lineRule="exact"/>
        <w:ind w:left="1360" w:right="851"/>
        <w:jc w:val="both"/>
        <w:rPr>
          <w:rFonts w:ascii="David" w:hAnsi="David" w:cs="David"/>
          <w:color w:val="000000"/>
          <w:spacing w:val="10"/>
          <w:rtl/>
        </w:rPr>
      </w:pPr>
      <w:r w:rsidRPr="0084608A">
        <w:rPr>
          <w:rFonts w:ascii="David" w:hAnsi="David" w:cs="David"/>
          <w:color w:val="000000"/>
          <w:spacing w:val="10"/>
          <w:rtl/>
        </w:rPr>
        <w:t xml:space="preserve"> בין כך ובין כך, </w:t>
      </w:r>
      <w:r w:rsidRPr="0084608A">
        <w:rPr>
          <w:rFonts w:ascii="David" w:hAnsi="David" w:cs="David"/>
          <w:b/>
          <w:bCs/>
          <w:color w:val="000000"/>
          <w:spacing w:val="10"/>
          <w:rtl/>
        </w:rPr>
        <w:t>וגם אם נצא מנקודת ההנחה כי קיים פער בנפקויות המשפטיות והחברתיות שמעניקים הליכי הגיור השונים, עדיין סבורים אנו כי טעם זה, לעצמו, לא יוכל להצדיק את ההבחנה אותה מבקשת המדינה ליצור בין מכונים פרטיים של זרמים שונים ביהדות הפועלים לאותה מטרה - הכנה לגיור</w:t>
      </w:r>
      <w:r w:rsidRPr="0084608A">
        <w:rPr>
          <w:rFonts w:ascii="David" w:hAnsi="David" w:cs="David"/>
          <w:color w:val="000000"/>
          <w:spacing w:val="10"/>
          <w:rtl/>
        </w:rPr>
        <w:t xml:space="preserve">. לעניין זה, נראה כי </w:t>
      </w:r>
      <w:r w:rsidRPr="0084608A">
        <w:rPr>
          <w:rFonts w:ascii="David" w:hAnsi="David" w:cs="David"/>
          <w:b/>
          <w:bCs/>
          <w:color w:val="000000"/>
          <w:spacing w:val="10"/>
          <w:rtl/>
        </w:rPr>
        <w:t>על המדינה להבחין בין הפעילות הנתמכת גופה להיבטים נוספים – חיצוניים לה – אשר מידת הרלוונטיות שלהם לצורך גיבוש מבחני התמיכה מוטלת בספק, ואין הם יכולים להצדיק את ההבחנה אותה מבקשת המדינה ליצור, תוך העדפתו של זרם דתי אחד על-פני זרם דתי אחר</w:t>
      </w:r>
      <w:r w:rsidRPr="0084608A">
        <w:rPr>
          <w:rFonts w:ascii="David" w:hAnsi="David" w:cs="David"/>
          <w:color w:val="000000"/>
          <w:spacing w:val="10"/>
          <w:rtl/>
        </w:rPr>
        <w:t>.</w:t>
      </w:r>
      <w:r w:rsidR="00DD2708" w:rsidRPr="0084608A">
        <w:rPr>
          <w:rFonts w:ascii="David" w:hAnsi="David" w:cs="David"/>
          <w:color w:val="000000"/>
          <w:spacing w:val="10"/>
          <w:rtl/>
        </w:rPr>
        <w:t>..</w:t>
      </w:r>
    </w:p>
    <w:p w14:paraId="219B65FD" w14:textId="77777777" w:rsidR="00920EA9" w:rsidRPr="0084608A" w:rsidRDefault="00DD2708" w:rsidP="0084608A">
      <w:pPr>
        <w:pStyle w:val="a3"/>
        <w:spacing w:after="240" w:line="312" w:lineRule="exact"/>
        <w:ind w:left="1360" w:right="851"/>
        <w:jc w:val="both"/>
        <w:rPr>
          <w:rFonts w:ascii="David" w:hAnsi="David" w:cs="David"/>
          <w:color w:val="000000"/>
          <w:spacing w:val="10"/>
          <w:rtl/>
        </w:rPr>
      </w:pPr>
      <w:r w:rsidRPr="0084608A">
        <w:rPr>
          <w:rFonts w:ascii="David" w:hAnsi="David" w:cs="David"/>
          <w:color w:val="000000"/>
          <w:spacing w:val="10"/>
          <w:rtl/>
        </w:rPr>
        <w:t>אין בעתירה זו כדי להכריע בסוגיה מורכבת זאת [הכרה לצורכי </w:t>
      </w:r>
      <w:hyperlink r:id="rId21" w:history="1">
        <w:r w:rsidRPr="00B72859">
          <w:rPr>
            <w:rStyle w:val="Hyperlink"/>
            <w:rFonts w:ascii="David" w:hAnsi="David" w:cs="David"/>
            <w:color w:val="auto"/>
            <w:spacing w:val="10"/>
            <w:u w:val="none"/>
            <w:rtl/>
          </w:rPr>
          <w:t>חוק השבות</w:t>
        </w:r>
      </w:hyperlink>
      <w:r w:rsidRPr="00B72859">
        <w:rPr>
          <w:rFonts w:ascii="David" w:hAnsi="David" w:cs="David"/>
          <w:spacing w:val="10"/>
        </w:rPr>
        <w:t> </w:t>
      </w:r>
      <w:r w:rsidRPr="0084608A">
        <w:rPr>
          <w:rFonts w:ascii="David" w:hAnsi="David" w:cs="David"/>
          <w:color w:val="000000"/>
          <w:spacing w:val="10"/>
          <w:rtl/>
        </w:rPr>
        <w:t>שיש להעניק לגיור האורתודוכסי בלבד]</w:t>
      </w:r>
      <w:r w:rsidR="00093EF5" w:rsidRPr="0084608A">
        <w:rPr>
          <w:rFonts w:ascii="David" w:hAnsi="David" w:cs="David"/>
          <w:color w:val="000000"/>
          <w:spacing w:val="10"/>
          <w:rtl/>
        </w:rPr>
        <w:t>...</w:t>
      </w:r>
      <w:r w:rsidRPr="0084608A">
        <w:rPr>
          <w:rFonts w:ascii="David" w:hAnsi="David" w:cs="David"/>
          <w:color w:val="000000"/>
          <w:spacing w:val="10"/>
          <w:rtl/>
        </w:rPr>
        <w:t xml:space="preserve"> אך הגיונם של הדברים שנקבעו בפרשות </w:t>
      </w:r>
      <w:r w:rsidRPr="0084608A">
        <w:rPr>
          <w:rFonts w:ascii="David" w:hAnsi="David" w:cs="David"/>
          <w:color w:val="000000"/>
          <w:rtl/>
        </w:rPr>
        <w:t>פסרו, נעמ"ת וטושביים</w:t>
      </w:r>
      <w:r w:rsidRPr="0084608A">
        <w:rPr>
          <w:rFonts w:ascii="David" w:hAnsi="David" w:cs="David"/>
          <w:color w:val="000000"/>
          <w:spacing w:val="10"/>
        </w:rPr>
        <w:t xml:space="preserve">, </w:t>
      </w:r>
      <w:r w:rsidRPr="0084608A">
        <w:rPr>
          <w:rFonts w:ascii="David" w:hAnsi="David" w:cs="David"/>
          <w:color w:val="000000"/>
          <w:spacing w:val="10"/>
          <w:rtl/>
        </w:rPr>
        <w:t xml:space="preserve">וההבחנה שיש ליצור בין השאלה ההלכתית לבין הדין האזרחי, </w:t>
      </w:r>
      <w:r w:rsidRPr="0084608A">
        <w:rPr>
          <w:rFonts w:ascii="David" w:hAnsi="David" w:cs="David"/>
          <w:color w:val="000000"/>
          <w:spacing w:val="10"/>
          <w:rtl/>
        </w:rPr>
        <w:lastRenderedPageBreak/>
        <w:t>מובילים למסקנה כי בטעם זה אין כדי להצדיק פגיעה בזכות לשוויון</w:t>
      </w:r>
      <w:r w:rsidR="00093EF5" w:rsidRPr="0084608A">
        <w:rPr>
          <w:rFonts w:ascii="David" w:hAnsi="David" w:cs="David"/>
          <w:color w:val="000000"/>
          <w:spacing w:val="10"/>
          <w:rtl/>
        </w:rPr>
        <w:t>."</w:t>
      </w:r>
      <w:r w:rsidR="0084608A">
        <w:rPr>
          <w:rFonts w:ascii="David" w:hAnsi="David" w:cs="David" w:hint="cs"/>
          <w:color w:val="000000"/>
          <w:spacing w:val="10"/>
          <w:rtl/>
        </w:rPr>
        <w:t xml:space="preserve"> (</w:t>
      </w:r>
      <w:r w:rsidR="00D57C9F" w:rsidRPr="0084608A">
        <w:rPr>
          <w:rFonts w:ascii="David" w:hAnsi="David" w:cs="David"/>
          <w:color w:val="000000"/>
          <w:spacing w:val="10"/>
          <w:rtl/>
        </w:rPr>
        <w:t>סעיפים 18-19)</w:t>
      </w:r>
    </w:p>
    <w:p w14:paraId="61A45128" w14:textId="77777777" w:rsidR="00EE5090" w:rsidRPr="0084608A" w:rsidRDefault="00046F5A" w:rsidP="00046F5A">
      <w:pPr>
        <w:pStyle w:val="a3"/>
        <w:tabs>
          <w:tab w:val="num" w:pos="540"/>
        </w:tabs>
        <w:autoSpaceDE/>
        <w:autoSpaceDN/>
        <w:spacing w:before="240" w:line="360" w:lineRule="auto"/>
        <w:ind w:left="510"/>
        <w:jc w:val="both"/>
        <w:rPr>
          <w:rFonts w:ascii="David" w:hAnsi="David" w:cs="David"/>
        </w:rPr>
      </w:pPr>
      <w:r w:rsidRPr="0084608A">
        <w:rPr>
          <w:rFonts w:ascii="David" w:hAnsi="David" w:cs="David"/>
          <w:rtl/>
        </w:rPr>
        <w:t xml:space="preserve"> </w:t>
      </w:r>
    </w:p>
    <w:p w14:paraId="77CA58D9" w14:textId="77777777" w:rsidR="00EE5090" w:rsidRDefault="0084608A" w:rsidP="0084608A">
      <w:pPr>
        <w:pStyle w:val="a3"/>
        <w:numPr>
          <w:ilvl w:val="0"/>
          <w:numId w:val="4"/>
        </w:numPr>
        <w:tabs>
          <w:tab w:val="num" w:pos="540"/>
        </w:tabs>
        <w:autoSpaceDE/>
        <w:autoSpaceDN/>
        <w:spacing w:before="240" w:line="360" w:lineRule="auto"/>
        <w:jc w:val="both"/>
        <w:rPr>
          <w:rFonts w:cs="David"/>
        </w:rPr>
      </w:pPr>
      <w:r>
        <w:rPr>
          <w:rFonts w:cs="David" w:hint="cs"/>
          <w:rtl/>
        </w:rPr>
        <w:t>בפסק דין נוסף, שעסק ב</w:t>
      </w:r>
      <w:r w:rsidR="00EE5090">
        <w:rPr>
          <w:rFonts w:cs="David" w:hint="cs"/>
          <w:rtl/>
        </w:rPr>
        <w:t>סרוב לאפשר טבילת גרים רפורמיים וקונסרבטיביים במקוואות ציבוריים</w:t>
      </w:r>
      <w:r>
        <w:rPr>
          <w:rFonts w:cs="David" w:hint="cs"/>
          <w:rtl/>
        </w:rPr>
        <w:t>, שוב ביקשה המדינה להיתלות בהבדלים בין הגיורים על מנת להצדיק את המדיניות המפלה. בית המשפט העליון שוב דחה נסיון זה וקבע</w:t>
      </w:r>
      <w:r w:rsidR="00EE5090">
        <w:rPr>
          <w:rFonts w:cs="David" w:hint="cs"/>
          <w:rtl/>
        </w:rPr>
        <w:t>:</w:t>
      </w:r>
    </w:p>
    <w:p w14:paraId="28BF7D90" w14:textId="77777777" w:rsidR="00EE5090" w:rsidRPr="0051247C" w:rsidRDefault="00EE5090" w:rsidP="00EE5090">
      <w:pPr>
        <w:pStyle w:val="a3"/>
        <w:spacing w:after="240" w:line="312" w:lineRule="exact"/>
        <w:ind w:left="1360" w:right="851"/>
        <w:jc w:val="both"/>
        <w:rPr>
          <w:rFonts w:ascii="David" w:hAnsi="David" w:cs="David"/>
          <w:rtl/>
        </w:rPr>
      </w:pPr>
      <w:r>
        <w:rPr>
          <w:rFonts w:ascii="David" w:hAnsi="David" w:cs="David" w:hint="cs"/>
          <w:rtl/>
        </w:rPr>
        <w:t>"</w:t>
      </w:r>
      <w:r w:rsidRPr="0051247C">
        <w:rPr>
          <w:rFonts w:ascii="David" w:hAnsi="David" w:cs="David"/>
          <w:rtl/>
        </w:rPr>
        <w:t xml:space="preserve">בחירתה של המדינה שלא לפקח על טבילה הנערכת במסגרת גיור פרטי, אינה יכולה להצדיק מניעה של טבילה מסוג זה. </w:t>
      </w:r>
      <w:r w:rsidRPr="0051247C">
        <w:rPr>
          <w:rFonts w:ascii="David" w:hAnsi="David" w:cs="David"/>
          <w:b/>
          <w:bCs/>
          <w:rtl/>
        </w:rPr>
        <w:t xml:space="preserve">השכל הישר אינו מאפשר לקבל את הטענה, לפיה ההפליה שננקטת בפועל </w:t>
      </w:r>
      <w:r w:rsidRPr="0051247C">
        <w:rPr>
          <w:rFonts w:ascii="David" w:hAnsi="David" w:cs="David"/>
          <w:rtl/>
        </w:rPr>
        <w:t>(בגישה למק</w:t>
      </w:r>
      <w:r w:rsidR="006546D5">
        <w:rPr>
          <w:rFonts w:ascii="David" w:hAnsi="David" w:cs="David" w:hint="cs"/>
          <w:rtl/>
        </w:rPr>
        <w:t>ו</w:t>
      </w:r>
      <w:r w:rsidRPr="0051247C">
        <w:rPr>
          <w:rFonts w:ascii="David" w:hAnsi="David" w:cs="David"/>
          <w:rtl/>
        </w:rPr>
        <w:t xml:space="preserve">ואות) </w:t>
      </w:r>
      <w:r w:rsidRPr="0051247C">
        <w:rPr>
          <w:rFonts w:ascii="David" w:hAnsi="David" w:cs="David"/>
          <w:b/>
          <w:bCs/>
          <w:rtl/>
        </w:rPr>
        <w:t>מוצדקת מחמת כך שקיימת הפליה ברובד המדיניות הכללית</w:t>
      </w:r>
      <w:r w:rsidRPr="0051247C">
        <w:rPr>
          <w:rFonts w:ascii="David" w:hAnsi="David" w:cs="David"/>
          <w:rtl/>
        </w:rPr>
        <w:t xml:space="preserve"> (בבחירה על מי לפקח וכיצד). </w:t>
      </w:r>
      <w:r w:rsidRPr="0051247C">
        <w:rPr>
          <w:rFonts w:ascii="David" w:hAnsi="David" w:cs="David"/>
          <w:b/>
          <w:bCs/>
          <w:rtl/>
        </w:rPr>
        <w:t>התנהלות זו אינה עולה בקנה אחד עם חובתה של רשות מינהלית לפעול בשויון בכל פעולה מפעולותיה</w:t>
      </w:r>
      <w:r w:rsidRPr="0051247C">
        <w:rPr>
          <w:rFonts w:ascii="David" w:hAnsi="David" w:cs="David"/>
          <w:rtl/>
        </w:rPr>
        <w:t>..</w:t>
      </w:r>
    </w:p>
    <w:p w14:paraId="5540B32F" w14:textId="77777777" w:rsidR="00EE5090" w:rsidRPr="0051247C" w:rsidRDefault="00EE5090" w:rsidP="00EE5090">
      <w:pPr>
        <w:pStyle w:val="a3"/>
        <w:spacing w:after="240" w:line="312" w:lineRule="exact"/>
        <w:ind w:left="1360" w:right="851"/>
        <w:jc w:val="both"/>
        <w:rPr>
          <w:rFonts w:ascii="David" w:hAnsi="David" w:cs="David"/>
          <w:rtl/>
        </w:rPr>
      </w:pPr>
      <w:r w:rsidRPr="0051247C">
        <w:rPr>
          <w:rFonts w:ascii="David" w:hAnsi="David" w:cs="David"/>
          <w:rtl/>
        </w:rPr>
        <w:t xml:space="preserve">הנפקות המשפטית של הטבילה במקוה וסוגית הגיור שאינו ממלכתי – אשר, כאמור, תלויה ועומדת בבית משפט זה – אינה רלבנטית לעניין הצבת הגבלות על עצם הטבילה. ככלל, </w:t>
      </w:r>
      <w:r w:rsidRPr="0051247C">
        <w:rPr>
          <w:rFonts w:ascii="David" w:hAnsi="David" w:cs="David"/>
          <w:b/>
          <w:bCs/>
          <w:rtl/>
        </w:rPr>
        <w:t>המעשה הדתי לחוד ונפקותו המשפטית לחוד.</w:t>
      </w:r>
      <w:r>
        <w:rPr>
          <w:rFonts w:ascii="David" w:hAnsi="David" w:cs="David" w:hint="cs"/>
          <w:b/>
          <w:bCs/>
          <w:rtl/>
        </w:rPr>
        <w:t>..</w:t>
      </w:r>
      <w:r w:rsidRPr="0051247C">
        <w:rPr>
          <w:rFonts w:ascii="David" w:hAnsi="David" w:cs="David"/>
          <w:rtl/>
        </w:rPr>
        <w:t xml:space="preserve"> הכלל הבסיסי הוא ש"כל אדם רשאי [...] לעבוד את אלוהיו על-פי דרכו ועל-פי הכרתו"</w:t>
      </w:r>
      <w:r>
        <w:rPr>
          <w:rFonts w:ascii="David" w:hAnsi="David" w:cs="David" w:hint="cs"/>
          <w:rtl/>
        </w:rPr>
        <w:t>...</w:t>
      </w:r>
      <w:r w:rsidRPr="0051247C">
        <w:rPr>
          <w:rFonts w:ascii="David" w:hAnsi="David" w:cs="David"/>
          <w:rtl/>
        </w:rPr>
        <w:t xml:space="preserve">  רוצה לומר, </w:t>
      </w:r>
      <w:r w:rsidRPr="006546D5">
        <w:rPr>
          <w:rFonts w:ascii="David" w:hAnsi="David" w:cs="David"/>
          <w:b/>
          <w:bCs/>
          <w:rtl/>
        </w:rPr>
        <w:t>מרגע שהקימה המדינה מקואות ציבוריים והעמידה אותם לרשות הציבור – לרבות לצרכי גיור – אין היא יכולה לנהוג מדיניות של אֵיפָה וְאֵיפָה (דברים, כ"ה, י"ד) בשימוש בהם; ולעניין זה אין חשיבות לנפקות המשפטית שיוצרת, או אינה יוצרת, הטבילה עצמה, וגם לא להשקפה זו או אחרת, לגיטימית ככל שתהא, על הנפקות הדתית בנסיבות.</w:t>
      </w:r>
      <w:r>
        <w:rPr>
          <w:rFonts w:ascii="David" w:hAnsi="David" w:cs="David" w:hint="cs"/>
          <w:rtl/>
        </w:rPr>
        <w:t>"</w:t>
      </w:r>
      <w:r w:rsidRPr="0051247C">
        <w:rPr>
          <w:rFonts w:ascii="David" w:hAnsi="David" w:cs="David"/>
          <w:rtl/>
        </w:rPr>
        <w:t xml:space="preserve"> </w:t>
      </w:r>
    </w:p>
    <w:p w14:paraId="2E2702EB" w14:textId="77777777" w:rsidR="00EE5090" w:rsidRDefault="00EE5090" w:rsidP="00EE5090">
      <w:pPr>
        <w:pStyle w:val="a3"/>
        <w:spacing w:after="240" w:line="312" w:lineRule="exact"/>
        <w:ind w:left="1360" w:right="851"/>
        <w:jc w:val="both"/>
        <w:rPr>
          <w:rFonts w:ascii="David" w:hAnsi="David" w:cs="David"/>
          <w:b/>
          <w:bCs/>
          <w:rtl/>
        </w:rPr>
      </w:pPr>
      <w:r w:rsidRPr="0051247C">
        <w:rPr>
          <w:rFonts w:ascii="David" w:hAnsi="David" w:cs="David"/>
          <w:rtl/>
        </w:rPr>
        <w:t xml:space="preserve">עע"מ 5785/10 </w:t>
      </w:r>
      <w:r w:rsidRPr="0051247C">
        <w:rPr>
          <w:rFonts w:ascii="David" w:hAnsi="David" w:cs="David"/>
          <w:b/>
          <w:bCs/>
          <w:rtl/>
        </w:rPr>
        <w:t>התנועה המסורתית נ' המועצה הדתית באר שבע</w:t>
      </w:r>
      <w:r>
        <w:rPr>
          <w:rFonts w:ascii="David" w:hAnsi="David" w:cs="David" w:hint="cs"/>
          <w:b/>
          <w:bCs/>
          <w:rtl/>
        </w:rPr>
        <w:t>.</w:t>
      </w:r>
    </w:p>
    <w:p w14:paraId="29A7B9FA" w14:textId="77777777" w:rsidR="006546D5" w:rsidRPr="0051247C" w:rsidRDefault="006546D5" w:rsidP="00EE5090">
      <w:pPr>
        <w:pStyle w:val="a3"/>
        <w:spacing w:after="240" w:line="312" w:lineRule="exact"/>
        <w:ind w:left="1360" w:right="851"/>
        <w:jc w:val="both"/>
        <w:rPr>
          <w:rFonts w:ascii="David" w:hAnsi="David" w:cs="David"/>
          <w:b/>
          <w:bCs/>
          <w:rtl/>
        </w:rPr>
      </w:pPr>
    </w:p>
    <w:p w14:paraId="22968609" w14:textId="77777777" w:rsidR="0091232C" w:rsidRPr="0091232C" w:rsidRDefault="00EE5090" w:rsidP="00004A96">
      <w:pPr>
        <w:pStyle w:val="a3"/>
        <w:numPr>
          <w:ilvl w:val="0"/>
          <w:numId w:val="4"/>
        </w:numPr>
        <w:tabs>
          <w:tab w:val="num" w:pos="540"/>
        </w:tabs>
        <w:autoSpaceDE/>
        <w:autoSpaceDN/>
        <w:spacing w:before="240" w:line="360" w:lineRule="auto"/>
        <w:jc w:val="both"/>
        <w:rPr>
          <w:rFonts w:ascii="David" w:hAnsi="David" w:cs="David"/>
          <w:b/>
          <w:bCs/>
          <w:u w:val="single"/>
        </w:rPr>
      </w:pPr>
      <w:r>
        <w:rPr>
          <w:rFonts w:cs="David" w:hint="cs"/>
          <w:rtl/>
        </w:rPr>
        <w:t>כך גם בענייננו</w:t>
      </w:r>
      <w:r w:rsidR="00004A96">
        <w:rPr>
          <w:rFonts w:cs="David" w:hint="cs"/>
          <w:rtl/>
        </w:rPr>
        <w:t>: מעת שהחליטה המשיבה להעמיד את הגנים הציבוריים לשימוש לצורך טקסי נישואין, אין היא יכולה להפלות זוגות בשל אופי טקס הנישואים, ואין חשיבות לנפקות המשפטית של טקס הנישואים.</w:t>
      </w:r>
      <w:r w:rsidR="0091232C">
        <w:rPr>
          <w:rFonts w:cs="David" w:hint="cs"/>
          <w:rtl/>
        </w:rPr>
        <w:t xml:space="preserve"> </w:t>
      </w:r>
    </w:p>
    <w:p w14:paraId="629E6AA3" w14:textId="7D8FF886" w:rsidR="00C43395" w:rsidRPr="004D0CD1" w:rsidRDefault="004D0CD1" w:rsidP="00E1756F">
      <w:pPr>
        <w:pStyle w:val="ac"/>
        <w:spacing w:before="240" w:line="360" w:lineRule="auto"/>
        <w:ind w:left="0" w:right="0" w:firstLine="386"/>
        <w:jc w:val="both"/>
        <w:rPr>
          <w:rFonts w:ascii="David" w:hAnsi="David"/>
          <w:b/>
          <w:bCs/>
          <w:sz w:val="28"/>
          <w:szCs w:val="28"/>
          <w:u w:val="single"/>
          <w:rtl/>
        </w:rPr>
      </w:pPr>
      <w:r>
        <w:rPr>
          <w:rFonts w:ascii="David" w:hAnsi="David"/>
          <w:b/>
          <w:bCs/>
          <w:sz w:val="28"/>
          <w:szCs w:val="28"/>
          <w:u w:val="single"/>
          <w:rtl/>
        </w:rPr>
        <w:t xml:space="preserve">חוסר סבירות </w:t>
      </w:r>
    </w:p>
    <w:p w14:paraId="12310F9C" w14:textId="0612A685" w:rsidR="005F542E" w:rsidRDefault="006D7BC5" w:rsidP="001743A2">
      <w:pPr>
        <w:numPr>
          <w:ilvl w:val="0"/>
          <w:numId w:val="4"/>
        </w:numPr>
        <w:tabs>
          <w:tab w:val="num" w:pos="540"/>
        </w:tabs>
        <w:spacing w:before="240" w:line="360" w:lineRule="auto"/>
        <w:jc w:val="both"/>
        <w:rPr>
          <w:rFonts w:ascii="David" w:hAnsi="David" w:cs="David"/>
        </w:rPr>
      </w:pPr>
      <w:r w:rsidRPr="00B72859">
        <w:rPr>
          <w:rFonts w:ascii="David" w:hAnsi="David" w:cs="David"/>
          <w:rtl/>
        </w:rPr>
        <w:t xml:space="preserve">כידוע, הליך בחינת סבירותה של החלטה מנהלית נעשה בשלושה שלבים – סבירות פרוצדוראלית, סבירות מהותית והסעד (ראו בין היתר רע"פ </w:t>
      </w:r>
      <w:r w:rsidRPr="001743A2">
        <w:rPr>
          <w:rFonts w:ascii="David" w:hAnsi="David" w:cs="David"/>
          <w:rtl/>
        </w:rPr>
        <w:t xml:space="preserve">244/12 </w:t>
      </w:r>
      <w:r w:rsidRPr="001743A2">
        <w:rPr>
          <w:rFonts w:ascii="David" w:hAnsi="David" w:cs="David"/>
          <w:b/>
          <w:bCs/>
          <w:rtl/>
        </w:rPr>
        <w:t>‏לוי נ' מדינת ישראל המשרד להגנת הסביבה</w:t>
      </w:r>
      <w:r w:rsidRPr="001743A2">
        <w:rPr>
          <w:rFonts w:ascii="David" w:hAnsi="David" w:cs="David"/>
          <w:rtl/>
        </w:rPr>
        <w:t xml:space="preserve">; בג"ץ 8730/03 </w:t>
      </w:r>
      <w:r w:rsidRPr="001743A2">
        <w:rPr>
          <w:rFonts w:ascii="David" w:hAnsi="David" w:cs="David"/>
          <w:bCs/>
          <w:rtl/>
        </w:rPr>
        <w:t>שירותי בריאות כללית נ' שר האוצר</w:t>
      </w:r>
      <w:r w:rsidRPr="001743A2">
        <w:rPr>
          <w:rFonts w:ascii="David" w:hAnsi="David" w:cs="David"/>
          <w:rtl/>
        </w:rPr>
        <w:t xml:space="preserve">). ראשית, יש לבחון את סבירותה הפרוצדוראלית של ההחלטה, קרי, האם ההחלטה התקבלה באופן הראוי. במסגרת זאת נבחנת השאלה האם ההחלטה נעשתה בסמכות, האם ניתנה לכלל הגורמים הרלבנטיים זכות טיעון ומעורבות בהליך, האם נאסף כלל המידע הראייתי הנוגע לעניין, האם ההחלטה התקבלה בשקידה ראויה, האם ההחלטה נתקבלה בהעדר ניגוד עניינים וכדומה. ככל שנפלו פגמים רבים יותר בהליך קבלת ההחלטה, כך יהיה מתחם הסבירות המהותי המסור לרשות מצומצם יותר, בנסיבות מסוימות יהיה בכך די להביא לבטלות ההחלטה כולה (ראו בג"ץ 1027/04 </w:t>
      </w:r>
      <w:r w:rsidRPr="001743A2">
        <w:rPr>
          <w:rFonts w:ascii="David" w:hAnsi="David" w:cs="David"/>
          <w:bCs/>
          <w:rtl/>
        </w:rPr>
        <w:t>פורום הערים העצמאיות נ' מועצת מקרקעי ישראל</w:t>
      </w:r>
      <w:r w:rsidRPr="001743A2">
        <w:rPr>
          <w:rFonts w:ascii="David" w:hAnsi="David" w:cs="David"/>
          <w:rtl/>
        </w:rPr>
        <w:t xml:space="preserve">, פסקה </w:t>
      </w:r>
      <w:r w:rsidR="001743A2">
        <w:rPr>
          <w:rFonts w:ascii="David" w:hAnsi="David" w:cs="David"/>
          <w:rtl/>
        </w:rPr>
        <w:t>35 לפסק-דינה של השופטת ע' ארבל</w:t>
      </w:r>
      <w:r w:rsidRPr="00B72859">
        <w:rPr>
          <w:rFonts w:ascii="David" w:hAnsi="David" w:cs="David"/>
          <w:rtl/>
        </w:rPr>
        <w:t xml:space="preserve">). </w:t>
      </w:r>
    </w:p>
    <w:p w14:paraId="5C2B6F36" w14:textId="527F6C5A" w:rsidR="006D7BC5" w:rsidRPr="006D7BC5" w:rsidRDefault="006D7BC5" w:rsidP="00D4576B">
      <w:pPr>
        <w:numPr>
          <w:ilvl w:val="0"/>
          <w:numId w:val="4"/>
        </w:numPr>
        <w:tabs>
          <w:tab w:val="num" w:pos="540"/>
        </w:tabs>
        <w:spacing w:before="240" w:line="360" w:lineRule="auto"/>
        <w:jc w:val="both"/>
        <w:rPr>
          <w:rFonts w:ascii="David" w:hAnsi="David" w:cs="David"/>
        </w:rPr>
      </w:pPr>
      <w:r w:rsidRPr="00B72859">
        <w:rPr>
          <w:rFonts w:ascii="David" w:hAnsi="David" w:cs="David"/>
          <w:rtl/>
        </w:rPr>
        <w:lastRenderedPageBreak/>
        <w:t xml:space="preserve">שנית, נבחנת הסבירות המהותית של ההחלטה. במסגרת זאת, נבחנת השאלה האם שקלה את כלל השיקולים הנוגעים לעניין, </w:t>
      </w:r>
      <w:r w:rsidR="005F542E">
        <w:rPr>
          <w:rFonts w:ascii="David" w:hAnsi="David" w:cs="David" w:hint="cs"/>
          <w:rtl/>
        </w:rPr>
        <w:t xml:space="preserve">האם נשקלו שיקולים זרים </w:t>
      </w:r>
      <w:r w:rsidRPr="00B72859">
        <w:rPr>
          <w:rFonts w:ascii="David" w:hAnsi="David" w:cs="David"/>
          <w:rtl/>
        </w:rPr>
        <w:t xml:space="preserve">והאם נתנה את המשקל הראוי לשיקולים השונים (ראו לדוגמא עע"ם 8284/08 </w:t>
      </w:r>
      <w:r w:rsidRPr="00D4576B">
        <w:rPr>
          <w:rFonts w:ascii="David" w:hAnsi="David" w:cs="David"/>
          <w:bCs/>
          <w:rtl/>
        </w:rPr>
        <w:t>תעשיות אבן וסיד בע"מ נ' מינהל מקרקעי ישראל</w:t>
      </w:r>
      <w:r w:rsidRPr="00B72859">
        <w:rPr>
          <w:rFonts w:ascii="David" w:hAnsi="David" w:cs="David"/>
          <w:rtl/>
        </w:rPr>
        <w:t xml:space="preserve">; בג"ץ 389/80 </w:t>
      </w:r>
      <w:r w:rsidRPr="001743A2">
        <w:rPr>
          <w:rFonts w:ascii="David" w:hAnsi="David" w:cs="David"/>
          <w:bCs/>
          <w:rtl/>
        </w:rPr>
        <w:t>דפי זהב בע"מ נ' רשות השידור</w:t>
      </w:r>
      <w:r w:rsidRPr="001743A2">
        <w:rPr>
          <w:rFonts w:ascii="David" w:hAnsi="David" w:cs="David"/>
          <w:rtl/>
        </w:rPr>
        <w:t>,</w:t>
      </w:r>
      <w:r w:rsidR="001743A2">
        <w:rPr>
          <w:rFonts w:ascii="David" w:hAnsi="David" w:cs="David"/>
          <w:rtl/>
        </w:rPr>
        <w:t xml:space="preserve"> פ"ד לה(1) 421, 445</w:t>
      </w:r>
      <w:r w:rsidRPr="00B72859">
        <w:rPr>
          <w:rFonts w:ascii="David" w:hAnsi="David" w:cs="David"/>
          <w:rtl/>
        </w:rPr>
        <w:t>).</w:t>
      </w:r>
    </w:p>
    <w:p w14:paraId="70517974" w14:textId="245BB983" w:rsidR="00D72DF1" w:rsidRDefault="00D72DF1" w:rsidP="00E36628">
      <w:pPr>
        <w:numPr>
          <w:ilvl w:val="0"/>
          <w:numId w:val="4"/>
        </w:numPr>
        <w:tabs>
          <w:tab w:val="num" w:pos="540"/>
        </w:tabs>
        <w:spacing w:before="240" w:line="360" w:lineRule="auto"/>
        <w:jc w:val="both"/>
        <w:rPr>
          <w:rFonts w:ascii="David" w:hAnsi="David" w:cs="David"/>
        </w:rPr>
      </w:pPr>
      <w:r>
        <w:rPr>
          <w:rFonts w:ascii="David" w:hAnsi="David" w:cs="David" w:hint="cs"/>
          <w:rtl/>
        </w:rPr>
        <w:t>במקרה הנוכחי, המשיבה כושלת הן במישור של הסבירות התהליכית, והן במישור של הסבירות המהותית.</w:t>
      </w:r>
    </w:p>
    <w:p w14:paraId="4D186E8A" w14:textId="0C627327" w:rsidR="00EF6066" w:rsidRPr="00EF6066" w:rsidRDefault="00D72DF1" w:rsidP="00B72859">
      <w:pPr>
        <w:numPr>
          <w:ilvl w:val="0"/>
          <w:numId w:val="4"/>
        </w:numPr>
        <w:tabs>
          <w:tab w:val="num" w:pos="540"/>
        </w:tabs>
        <w:spacing w:before="240" w:line="360" w:lineRule="auto"/>
        <w:jc w:val="both"/>
        <w:rPr>
          <w:rFonts w:ascii="Arial TUR" w:hAnsi="Arial TUR" w:cs="FrankRuehl"/>
          <w:spacing w:val="10"/>
          <w:sz w:val="28"/>
          <w:szCs w:val="28"/>
          <w:rtl/>
          <w:lang w:eastAsia="en-US"/>
        </w:rPr>
      </w:pPr>
      <w:r w:rsidRPr="00EF6066">
        <w:rPr>
          <w:rFonts w:ascii="David" w:hAnsi="David" w:cs="David" w:hint="cs"/>
          <w:b/>
          <w:bCs/>
          <w:u w:val="single"/>
          <w:rtl/>
        </w:rPr>
        <w:t>תקינות ההליך</w:t>
      </w:r>
      <w:r w:rsidRPr="00EF6066">
        <w:rPr>
          <w:rFonts w:ascii="David" w:hAnsi="David" w:cs="David" w:hint="cs"/>
          <w:rtl/>
        </w:rPr>
        <w:t xml:space="preserve"> </w:t>
      </w:r>
      <w:r w:rsidRPr="00EF6066">
        <w:rPr>
          <w:rFonts w:ascii="David" w:hAnsi="David" w:cs="David"/>
          <w:rtl/>
        </w:rPr>
        <w:t>–</w:t>
      </w:r>
      <w:r w:rsidRPr="00EF6066">
        <w:rPr>
          <w:rFonts w:ascii="David" w:hAnsi="David" w:cs="David" w:hint="cs"/>
          <w:rtl/>
        </w:rPr>
        <w:t xml:space="preserve"> החלטת המשיבה היא החלטה על הקצאת משאבים ציבוריים לגורמים פרטיים. </w:t>
      </w:r>
      <w:r w:rsidR="00EF6066" w:rsidRPr="00EF6066">
        <w:rPr>
          <w:rFonts w:ascii="David" w:hAnsi="David" w:cs="David" w:hint="cs"/>
          <w:rtl/>
        </w:rPr>
        <w:t xml:space="preserve">בבג"ץ 4124/00 </w:t>
      </w:r>
      <w:r w:rsidR="00EF6066" w:rsidRPr="004A3AB6">
        <w:rPr>
          <w:rFonts w:ascii="David" w:hAnsi="David" w:cs="David" w:hint="cs"/>
          <w:b/>
          <w:bCs/>
          <w:rtl/>
        </w:rPr>
        <w:t xml:space="preserve">יקותיאלי השר לעניני דתות </w:t>
      </w:r>
      <w:r w:rsidR="00EF6066" w:rsidRPr="004A3AB6">
        <w:rPr>
          <w:rFonts w:ascii="David" w:hAnsi="David" w:cs="David" w:hint="cs"/>
          <w:rtl/>
        </w:rPr>
        <w:t xml:space="preserve">עמד בית המשפט העליון על כך שהחובה לחלק תמיכות </w:t>
      </w:r>
      <w:r w:rsidR="00EF6066" w:rsidRPr="003C3BB2">
        <w:rPr>
          <w:rFonts w:ascii="David" w:hAnsi="David" w:cs="David" w:hint="cs"/>
          <w:rtl/>
        </w:rPr>
        <w:t xml:space="preserve">ממשלתיות בשוויון </w:t>
      </w:r>
      <w:r w:rsidR="00EF6066" w:rsidRPr="00C75835">
        <w:rPr>
          <w:rFonts w:ascii="David" w:hAnsi="David" w:cs="David" w:hint="cs"/>
          <w:rtl/>
        </w:rPr>
        <w:t>(מכח סעיף 3א לחוק יסודות התקציב</w:t>
      </w:r>
      <w:r w:rsidR="00EF6066" w:rsidRPr="00AC72BB">
        <w:rPr>
          <w:rFonts w:ascii="David" w:hAnsi="David" w:cs="David" w:hint="cs"/>
          <w:rtl/>
        </w:rPr>
        <w:t xml:space="preserve">) חלה לא רק על תמיכה במוסדות </w:t>
      </w:r>
      <w:r w:rsidR="00EF6066" w:rsidRPr="00AB6DF7">
        <w:rPr>
          <w:rFonts w:ascii="David" w:hAnsi="David" w:cs="David"/>
          <w:rtl/>
        </w:rPr>
        <w:t xml:space="preserve">ציבור אלא גם על </w:t>
      </w:r>
      <w:r w:rsidR="00EF6066" w:rsidRPr="00B72859">
        <w:rPr>
          <w:rFonts w:ascii="David" w:hAnsi="David" w:cs="David"/>
          <w:spacing w:val="10"/>
          <w:rtl/>
          <w:lang w:eastAsia="en-US"/>
        </w:rPr>
        <w:t>תמיכה בפרטים</w:t>
      </w:r>
      <w:r w:rsidR="00EF6066" w:rsidRPr="00EF6066">
        <w:rPr>
          <w:rFonts w:ascii="David" w:hAnsi="David" w:cs="David"/>
          <w:spacing w:val="10"/>
          <w:rtl/>
          <w:lang w:eastAsia="en-US"/>
        </w:rPr>
        <w:t xml:space="preserve"> תוך שהוא מפנה לבג"ץ 1/98 </w:t>
      </w:r>
      <w:r w:rsidR="00EF6066" w:rsidRPr="00EF6066">
        <w:rPr>
          <w:rFonts w:ascii="David" w:hAnsi="David" w:cs="David"/>
          <w:b/>
          <w:bCs/>
          <w:spacing w:val="10"/>
          <w:rtl/>
          <w:lang w:eastAsia="en-US"/>
        </w:rPr>
        <w:t xml:space="preserve">כבל נ' ראש ממשלת ישראל </w:t>
      </w:r>
      <w:r w:rsidR="00EF6066" w:rsidRPr="00EF6066">
        <w:rPr>
          <w:rFonts w:ascii="David" w:hAnsi="David" w:cs="David"/>
          <w:spacing w:val="10"/>
          <w:rtl/>
          <w:lang w:eastAsia="en-US"/>
        </w:rPr>
        <w:t xml:space="preserve">(פ"ד נד(2) 241, 263) שם נקבע </w:t>
      </w:r>
      <w:r w:rsidR="00EF6066" w:rsidRPr="00B72859">
        <w:rPr>
          <w:rFonts w:ascii="David" w:hAnsi="David" w:cs="David"/>
          <w:spacing w:val="10"/>
          <w:rtl/>
          <w:lang w:eastAsia="en-US"/>
        </w:rPr>
        <w:t xml:space="preserve">"הוראת סעיף </w:t>
      </w:r>
      <w:r w:rsidR="00EF6066" w:rsidRPr="00D4576B">
        <w:rPr>
          <w:rFonts w:ascii="David" w:hAnsi="David" w:cs="David"/>
          <w:spacing w:val="10"/>
          <w:rtl/>
          <w:lang w:eastAsia="en-US"/>
        </w:rPr>
        <w:t>3א ל</w:t>
      </w:r>
      <w:hyperlink r:id="rId22" w:history="1">
        <w:r w:rsidR="00EF6066" w:rsidRPr="00D4576B">
          <w:rPr>
            <w:rFonts w:ascii="David" w:hAnsi="David" w:cs="David"/>
            <w:spacing w:val="10"/>
            <w:rtl/>
            <w:lang w:eastAsia="en-US"/>
          </w:rPr>
          <w:t>חוק יסודות התקציב</w:t>
        </w:r>
      </w:hyperlink>
      <w:r w:rsidR="00EF6066" w:rsidRPr="00D4576B">
        <w:rPr>
          <w:rFonts w:ascii="David" w:hAnsi="David" w:cs="David"/>
          <w:spacing w:val="10"/>
          <w:rtl/>
          <w:lang w:eastAsia="en-US"/>
        </w:rPr>
        <w:t xml:space="preserve"> עניינה הוא, אמנם, בתמיכות שהמדינה מעניקה למוסדות צי</w:t>
      </w:r>
      <w:r w:rsidR="00EF6066" w:rsidRPr="00B72859">
        <w:rPr>
          <w:rFonts w:ascii="David" w:hAnsi="David" w:cs="David"/>
          <w:spacing w:val="10"/>
          <w:rtl/>
          <w:lang w:eastAsia="en-US"/>
        </w:rPr>
        <w:t>בור</w:t>
      </w:r>
      <w:r w:rsidR="00EF6066" w:rsidRPr="00EF6066">
        <w:rPr>
          <w:rFonts w:ascii="David" w:hAnsi="David" w:cs="David" w:hint="cs"/>
          <w:spacing w:val="10"/>
          <w:rtl/>
          <w:lang w:eastAsia="en-US"/>
        </w:rPr>
        <w:t>...</w:t>
      </w:r>
      <w:r w:rsidR="00EF6066" w:rsidRPr="00B72859">
        <w:rPr>
          <w:rFonts w:ascii="David" w:hAnsi="David" w:cs="David"/>
          <w:spacing w:val="10"/>
          <w:rtl/>
          <w:lang w:eastAsia="en-US"/>
        </w:rPr>
        <w:t xml:space="preserve"> וממילא אין היא חלה על ענייננו, ואולם היקש מכאן לכאן נדרש כמו-מעצמו, ולו מן הטעם שגם כאן וגם כאן מדברים אנו בהטבות הניתנות מתקציב המדינה, הטבות הניתנות באין חוק מהותי הקובע הנחיות להענקתן. אכן, יפה תעשינה הרשויות – ויפה יעשה היועץ המשפטי לממשלה – אם יחילו את רוחן ואת לשונן של הוראות סעיף 3א, בשינויים המחויבים מן העניין, גם על הטבות כספיות שאינן ניתנות למוסדות ציבור דווקא" </w:t>
      </w:r>
    </w:p>
    <w:p w14:paraId="3D5583F7" w14:textId="77777777" w:rsidR="00EF6066" w:rsidRPr="00EF6066" w:rsidRDefault="00EF6066" w:rsidP="00B72859">
      <w:pPr>
        <w:pStyle w:val="a3"/>
        <w:overflowPunct w:val="0"/>
        <w:adjustRightInd w:val="0"/>
        <w:ind w:left="510" w:right="1282"/>
        <w:jc w:val="both"/>
        <w:rPr>
          <w:rFonts w:ascii="Arial TUR" w:hAnsi="Arial TUR" w:cs="FrankRuehl"/>
          <w:spacing w:val="10"/>
          <w:sz w:val="28"/>
          <w:szCs w:val="28"/>
          <w:rtl/>
          <w:lang w:eastAsia="en-US"/>
        </w:rPr>
      </w:pPr>
    </w:p>
    <w:p w14:paraId="6BBD61A1" w14:textId="57195AD0" w:rsidR="00EF6066" w:rsidRPr="00B72859" w:rsidRDefault="00EF6066" w:rsidP="004A3AB6">
      <w:pPr>
        <w:pStyle w:val="a3"/>
        <w:numPr>
          <w:ilvl w:val="0"/>
          <w:numId w:val="4"/>
        </w:numPr>
        <w:tabs>
          <w:tab w:val="left" w:pos="800"/>
        </w:tabs>
        <w:overflowPunct w:val="0"/>
        <w:adjustRightInd w:val="0"/>
        <w:spacing w:line="360" w:lineRule="auto"/>
        <w:jc w:val="both"/>
        <w:rPr>
          <w:rFonts w:ascii="David" w:hAnsi="David" w:cs="David"/>
          <w:spacing w:val="10"/>
          <w:rtl/>
          <w:lang w:eastAsia="en-US"/>
        </w:rPr>
      </w:pPr>
      <w:r w:rsidRPr="00B72859">
        <w:rPr>
          <w:rFonts w:ascii="David" w:hAnsi="David" w:cs="David"/>
          <w:spacing w:val="10"/>
          <w:rtl/>
          <w:lang w:eastAsia="en-US"/>
        </w:rPr>
        <w:t>בית המשפט ה</w:t>
      </w:r>
      <w:r w:rsidR="004A3AB6" w:rsidRPr="00B72859">
        <w:rPr>
          <w:rFonts w:ascii="David" w:hAnsi="David" w:cs="David"/>
          <w:spacing w:val="10"/>
          <w:rtl/>
          <w:lang w:eastAsia="en-US"/>
        </w:rPr>
        <w:t>פנה ל</w:t>
      </w:r>
      <w:r w:rsidR="004A3AB6" w:rsidRPr="00B72859">
        <w:rPr>
          <w:rFonts w:ascii="David" w:hAnsi="David" w:cs="David"/>
          <w:rtl/>
        </w:rPr>
        <w:t xml:space="preserve">בג"ץ 59/88 </w:t>
      </w:r>
      <w:r w:rsidR="004A3AB6" w:rsidRPr="00B72859">
        <w:rPr>
          <w:rFonts w:ascii="David" w:hAnsi="David" w:cs="David"/>
          <w:b/>
          <w:bCs/>
          <w:rtl/>
        </w:rPr>
        <w:t>צבן נ' שר האוצר</w:t>
      </w:r>
      <w:r w:rsidR="004A3AB6" w:rsidRPr="00B72859">
        <w:rPr>
          <w:rFonts w:ascii="David" w:hAnsi="David" w:cs="David"/>
          <w:rtl/>
        </w:rPr>
        <w:t xml:space="preserve">, פ"ד מב (4) 705 , 706-707 שקבע </w:t>
      </w:r>
      <w:r w:rsidR="004A3AB6" w:rsidRPr="00B72859">
        <w:rPr>
          <w:rFonts w:ascii="David" w:hAnsi="David" w:cs="David"/>
          <w:spacing w:val="10"/>
          <w:rtl/>
          <w:lang w:eastAsia="en-US"/>
        </w:rPr>
        <w:t>כי</w:t>
      </w:r>
      <w:r w:rsidRPr="00B72859">
        <w:rPr>
          <w:rFonts w:ascii="David" w:hAnsi="David" w:cs="David"/>
          <w:spacing w:val="10"/>
          <w:rtl/>
          <w:lang w:eastAsia="en-US"/>
        </w:rPr>
        <w:t xml:space="preserve"> תמיכת המדינה חייבת להיעשות בשוויון ותוך קביעת קריטריונים ברורים, שוויוניים וגלויים:</w:t>
      </w:r>
    </w:p>
    <w:p w14:paraId="5B5749AF" w14:textId="77777777" w:rsidR="00EF6066" w:rsidRPr="00EF6066" w:rsidRDefault="00EF6066" w:rsidP="00B72859">
      <w:pPr>
        <w:pStyle w:val="a3"/>
        <w:overflowPunct w:val="0"/>
        <w:adjustRightInd w:val="0"/>
        <w:spacing w:line="360" w:lineRule="auto"/>
        <w:ind w:left="510"/>
        <w:jc w:val="both"/>
        <w:rPr>
          <w:rFonts w:ascii="Arial TUR" w:hAnsi="Arial TUR" w:cs="FrankRuehl"/>
          <w:spacing w:val="10"/>
          <w:sz w:val="22"/>
          <w:szCs w:val="28"/>
          <w:rtl/>
          <w:lang w:eastAsia="en-US"/>
        </w:rPr>
      </w:pPr>
    </w:p>
    <w:p w14:paraId="3EB2A381" w14:textId="77777777" w:rsidR="00EF6066" w:rsidRPr="00B72859" w:rsidRDefault="00EF6066" w:rsidP="00B72859">
      <w:pPr>
        <w:pStyle w:val="a3"/>
        <w:spacing w:after="240" w:line="312" w:lineRule="exact"/>
        <w:ind w:left="1360" w:right="851"/>
        <w:jc w:val="both"/>
        <w:rPr>
          <w:rFonts w:ascii="David" w:hAnsi="David" w:cs="David"/>
          <w:spacing w:val="10"/>
          <w:rtl/>
          <w:lang w:eastAsia="en-US"/>
        </w:rPr>
      </w:pPr>
      <w:r w:rsidRPr="00B72859">
        <w:rPr>
          <w:rFonts w:ascii="David" w:hAnsi="David" w:cs="David"/>
          <w:spacing w:val="10"/>
          <w:rtl/>
          <w:lang w:eastAsia="en-US"/>
        </w:rPr>
        <w:t>"כספי התקציב הם כספי מדינה. רשויות השלטון המוסמכות לפעול בהם אינן רשאיות לעשות בהם כטוב בעיניהן. רשויות השלטון הן נאמני הציבור, והוצאתם של כספים אלה וחלוקתם צריכות להיעשות בדרך העולה בקנה אחד עם נאמנות זו. מבחינת המהות, מחייבת דרך זו שכנוע, כי המטרה שלשמה נועדו הכספים היא מטרה שיש למדינה עניין לתמוך בה. התמיכה צריכה להיעשות על-פי עקרונות של סבירות ושוויון... ומתוך שיקולים ענייניים... התמיכה הכספית צריכה להיעשות 'על פי קריטריונים ברורים, ענייניים ושווים'. מבחינת הצורה, חייבים להיקבע קריטריונים ברורים וגלויים, שעל פיהם תיעשה ההחלטה באשר לתמיכה הכספית, תוך קביעת מנגנוני בקרה, כי הכספים משמשים את תעודתם. רק בדרך זו תיעשה התמיכה באופן המתישב עם חובת הנאמנות של השלטון. רק בדרך זו מובטח אמון הציבור, כי תמיכת המדינה נעשית לפי משקל העניין ולא לפי משקל המעוניין" (שם, עמ' 707-706).</w:t>
      </w:r>
    </w:p>
    <w:p w14:paraId="6637590A" w14:textId="77777777" w:rsidR="00EF6066" w:rsidRPr="00B72859" w:rsidRDefault="00EF6066" w:rsidP="00B72859">
      <w:pPr>
        <w:pStyle w:val="a3"/>
        <w:overflowPunct w:val="0"/>
        <w:adjustRightInd w:val="0"/>
        <w:spacing w:line="480" w:lineRule="auto"/>
        <w:ind w:left="510"/>
        <w:jc w:val="both"/>
        <w:rPr>
          <w:rFonts w:ascii="David" w:hAnsi="David" w:cs="David"/>
          <w:spacing w:val="10"/>
          <w:rtl/>
          <w:lang w:eastAsia="en-US"/>
        </w:rPr>
      </w:pPr>
    </w:p>
    <w:p w14:paraId="0EB14DE9" w14:textId="4F5741EB" w:rsidR="00EF6066" w:rsidRDefault="0079241D" w:rsidP="000F47A7">
      <w:pPr>
        <w:numPr>
          <w:ilvl w:val="0"/>
          <w:numId w:val="4"/>
        </w:numPr>
        <w:tabs>
          <w:tab w:val="num" w:pos="540"/>
        </w:tabs>
        <w:spacing w:before="240" w:line="360" w:lineRule="auto"/>
        <w:jc w:val="both"/>
        <w:rPr>
          <w:rFonts w:ascii="David" w:hAnsi="David" w:cs="David"/>
        </w:rPr>
      </w:pPr>
      <w:r>
        <w:rPr>
          <w:rFonts w:ascii="David" w:hAnsi="David" w:cs="David" w:hint="cs"/>
          <w:rtl/>
        </w:rPr>
        <w:lastRenderedPageBreak/>
        <w:t xml:space="preserve">בענין </w:t>
      </w:r>
      <w:r>
        <w:rPr>
          <w:rFonts w:ascii="David" w:hAnsi="David" w:cs="David" w:hint="cs"/>
          <w:b/>
          <w:bCs/>
          <w:rtl/>
        </w:rPr>
        <w:t>הבית הפתוח</w:t>
      </w:r>
      <w:r>
        <w:rPr>
          <w:rFonts w:ascii="David" w:hAnsi="David" w:cs="David" w:hint="cs"/>
          <w:rtl/>
        </w:rPr>
        <w:t xml:space="preserve"> קבע בית המשפט העליון קביעות דומות בכל הנוגע לחלוקת משאבים על ידי רשות מקומית</w:t>
      </w:r>
      <w:r w:rsidR="000F47A7">
        <w:rPr>
          <w:rFonts w:ascii="David" w:hAnsi="David" w:cs="David" w:hint="cs"/>
          <w:rtl/>
        </w:rPr>
        <w:t xml:space="preserve"> (ראו פסקאות 34-35 לפסק דינו של השופט עמית)</w:t>
      </w:r>
      <w:r>
        <w:rPr>
          <w:rFonts w:ascii="David" w:hAnsi="David" w:cs="David" w:hint="cs"/>
          <w:rtl/>
        </w:rPr>
        <w:t>.</w:t>
      </w:r>
    </w:p>
    <w:p w14:paraId="64DDC9A1" w14:textId="686233F0" w:rsidR="00D72DF1" w:rsidRPr="0079241D" w:rsidRDefault="00D72DF1" w:rsidP="00544D32">
      <w:pPr>
        <w:numPr>
          <w:ilvl w:val="0"/>
          <w:numId w:val="4"/>
        </w:numPr>
        <w:tabs>
          <w:tab w:val="num" w:pos="540"/>
        </w:tabs>
        <w:spacing w:before="240" w:line="360" w:lineRule="auto"/>
        <w:jc w:val="both"/>
        <w:rPr>
          <w:rFonts w:ascii="David" w:hAnsi="David" w:cs="David"/>
        </w:rPr>
      </w:pPr>
      <w:r w:rsidRPr="00D4576B">
        <w:rPr>
          <w:rFonts w:ascii="David" w:hAnsi="David" w:cs="David" w:hint="cs"/>
          <w:rtl/>
        </w:rPr>
        <w:t>למיטב הידיעה, אין בנמצא הנחיות ישירות החלות על האופן שבו על רשות מקומית לקבוע תבחינים לצורך הקצאה ישירה של משאבי ציבור לתושבים. יחד עם זאת, על ההליך התקין שיש לבצע במקרה כזה ניתן ללמוד מ</w:t>
      </w:r>
      <w:r w:rsidRPr="00D4576B">
        <w:rPr>
          <w:rFonts w:ascii="Miriam" w:hAnsi="Miriam" w:cs="Miriam" w:hint="cs"/>
          <w:color w:val="000000"/>
          <w:spacing w:val="10"/>
          <w:rtl/>
        </w:rPr>
        <w:t>"</w:t>
      </w:r>
      <w:r w:rsidRPr="00D4576B">
        <w:rPr>
          <w:rFonts w:ascii="Miriam" w:hAnsi="Miriam" w:cs="Miriam"/>
          <w:color w:val="000000"/>
          <w:spacing w:val="10"/>
          <w:rtl/>
        </w:rPr>
        <w:t>נוהל</w:t>
      </w:r>
      <w:r w:rsidRPr="0079241D">
        <w:rPr>
          <w:rFonts w:ascii="Miriam" w:hAnsi="Miriam" w:cs="Miriam"/>
          <w:color w:val="000000"/>
          <w:spacing w:val="10"/>
          <w:rtl/>
        </w:rPr>
        <w:t xml:space="preserve"> הקצאת קרקעות ומבנים ללא תמורה או בתמורה סימלית</w:t>
      </w:r>
      <w:r w:rsidRPr="0079241D">
        <w:rPr>
          <w:rFonts w:ascii="David" w:hAnsi="David" w:cs="David" w:hint="cs"/>
          <w:rtl/>
        </w:rPr>
        <w:t>" ומ"נוהל תמיכה במוסדות ציבור על ידי רשויות מקומיות" שפורסמו על ידי משרד הפנים. בשני המקרים, מחייב משרד הפנים כי קודם להקצאת המשאבים, יקבעו תבחינים, אשר יאושרו על ידי היועץ המשפטי של העירייה, ויובאו לאישור המליאה, ולידיעת המשרד. על הרשות החובה לפרסם תבחינים אלו בפומבי. נהלים אלו דומים לנהלים החלים על הקצאת תמיכות מקופת המדינה (אשר אף היא מחויבת באישור מראש של היעוץ המשפטי, באישור ועדת הכספים ובפרסום).</w:t>
      </w:r>
    </w:p>
    <w:p w14:paraId="2E9A6FC0" w14:textId="431B5BF7" w:rsidR="00793145" w:rsidRPr="000F47A7" w:rsidRDefault="00D72DF1" w:rsidP="00D4576B">
      <w:pPr>
        <w:numPr>
          <w:ilvl w:val="0"/>
          <w:numId w:val="4"/>
        </w:numPr>
        <w:tabs>
          <w:tab w:val="num" w:pos="540"/>
        </w:tabs>
        <w:spacing w:before="240" w:line="360" w:lineRule="auto"/>
        <w:jc w:val="both"/>
        <w:rPr>
          <w:rFonts w:ascii="David" w:hAnsi="David" w:cs="David"/>
        </w:rPr>
      </w:pPr>
      <w:r w:rsidRPr="000F47A7">
        <w:rPr>
          <w:rFonts w:ascii="David" w:hAnsi="David" w:cs="David" w:hint="cs"/>
          <w:rtl/>
        </w:rPr>
        <w:t>גם במקרה הנוכחי, על המשיב</w:t>
      </w:r>
      <w:r w:rsidR="00793145" w:rsidRPr="000F47A7">
        <w:rPr>
          <w:rFonts w:ascii="David" w:hAnsi="David" w:cs="David" w:hint="cs"/>
          <w:rtl/>
        </w:rPr>
        <w:t>ה</w:t>
      </w:r>
      <w:r w:rsidRPr="000F47A7">
        <w:rPr>
          <w:rFonts w:ascii="David" w:hAnsi="David" w:cs="David" w:hint="cs"/>
          <w:rtl/>
        </w:rPr>
        <w:t xml:space="preserve"> הייתה החובה לכל הפחות לקבוע תבחינים מראש, לקבל אישור מראש מה</w:t>
      </w:r>
      <w:r w:rsidR="000F47A7">
        <w:rPr>
          <w:rFonts w:ascii="David" w:hAnsi="David" w:cs="David" w:hint="cs"/>
          <w:rtl/>
        </w:rPr>
        <w:t>י</w:t>
      </w:r>
      <w:r w:rsidRPr="000F47A7">
        <w:rPr>
          <w:rFonts w:ascii="David" w:hAnsi="David" w:cs="David" w:hint="cs"/>
          <w:rtl/>
        </w:rPr>
        <w:t xml:space="preserve">יעוץ המשפטי כי הם שוויוניים, ולהביאם לאישור המליאה ולידיעת משרד הפנים. </w:t>
      </w:r>
    </w:p>
    <w:p w14:paraId="548AC8BC" w14:textId="65A921C5" w:rsidR="00D72DF1" w:rsidRDefault="00D72DF1" w:rsidP="000F47A7">
      <w:pPr>
        <w:numPr>
          <w:ilvl w:val="0"/>
          <w:numId w:val="4"/>
        </w:numPr>
        <w:tabs>
          <w:tab w:val="num" w:pos="540"/>
        </w:tabs>
        <w:spacing w:before="240" w:line="360" w:lineRule="auto"/>
        <w:jc w:val="both"/>
        <w:rPr>
          <w:rFonts w:ascii="David" w:hAnsi="David" w:cs="David"/>
        </w:rPr>
      </w:pPr>
      <w:r>
        <w:rPr>
          <w:rFonts w:ascii="David" w:hAnsi="David" w:cs="David" w:hint="cs"/>
          <w:rtl/>
        </w:rPr>
        <w:t xml:space="preserve">בהקשר זה, חרף הפניה המקדימה למשיבים בנושא, המשיבים בחרו להסתיר את האופן שבו התקבלה ההחלטה, ולמעשה, כלל לא ברור מיהו בעל הסמכות שקיבל את ההחלטה. </w:t>
      </w:r>
      <w:r w:rsidR="00793145">
        <w:rPr>
          <w:rFonts w:ascii="David" w:hAnsi="David" w:cs="David" w:hint="cs"/>
          <w:rtl/>
        </w:rPr>
        <w:t>ברי, כי זהו מצב שבו ראוי לקבוע כי קועקע</w:t>
      </w:r>
      <w:r w:rsidR="000F47A7">
        <w:rPr>
          <w:rFonts w:ascii="David" w:hAnsi="David" w:cs="David" w:hint="cs"/>
          <w:rtl/>
        </w:rPr>
        <w:t>ה</w:t>
      </w:r>
      <w:r w:rsidR="00793145">
        <w:rPr>
          <w:rFonts w:ascii="David" w:hAnsi="David" w:cs="David" w:hint="cs"/>
          <w:rtl/>
        </w:rPr>
        <w:t xml:space="preserve"> חזקת התקינות, להעביר את הנטל לכתפי המשיבים להסביר את תקינות ההליך המנהלי. העותרות שומרות לעצמן את הזכות להתייחס למסמכים המלמדים על האופן שבו התקבלה ההחלטה, ככל שי</w:t>
      </w:r>
      <w:r w:rsidR="000F47A7">
        <w:rPr>
          <w:rFonts w:ascii="David" w:hAnsi="David" w:cs="David" w:hint="cs"/>
          <w:rtl/>
        </w:rPr>
        <w:t>ועברו אליהן</w:t>
      </w:r>
      <w:r w:rsidR="00793145">
        <w:rPr>
          <w:rFonts w:ascii="David" w:hAnsi="David" w:cs="David" w:hint="cs"/>
          <w:rtl/>
        </w:rPr>
        <w:t xml:space="preserve"> (וככל שקיימים תבחינים מסודרים כלל ועיקר).  </w:t>
      </w:r>
    </w:p>
    <w:p w14:paraId="726DE1ED" w14:textId="170F300A" w:rsidR="00C43395" w:rsidRDefault="00793145" w:rsidP="00E36628">
      <w:pPr>
        <w:numPr>
          <w:ilvl w:val="0"/>
          <w:numId w:val="4"/>
        </w:numPr>
        <w:tabs>
          <w:tab w:val="num" w:pos="540"/>
        </w:tabs>
        <w:spacing w:before="240" w:line="360" w:lineRule="auto"/>
        <w:jc w:val="both"/>
        <w:rPr>
          <w:rFonts w:ascii="David" w:hAnsi="David" w:cs="David"/>
        </w:rPr>
      </w:pPr>
      <w:r w:rsidRPr="00B72859">
        <w:rPr>
          <w:rFonts w:ascii="David" w:hAnsi="David" w:cs="David" w:hint="eastAsia"/>
          <w:b/>
          <w:bCs/>
          <w:u w:val="single"/>
          <w:rtl/>
        </w:rPr>
        <w:t>סבירות</w:t>
      </w:r>
      <w:r w:rsidRPr="00B72859">
        <w:rPr>
          <w:rFonts w:ascii="David" w:hAnsi="David" w:cs="David"/>
          <w:b/>
          <w:bCs/>
          <w:u w:val="single"/>
          <w:rtl/>
        </w:rPr>
        <w:t xml:space="preserve"> </w:t>
      </w:r>
      <w:r w:rsidRPr="00B72859">
        <w:rPr>
          <w:rFonts w:ascii="David" w:hAnsi="David" w:cs="David" w:hint="eastAsia"/>
          <w:b/>
          <w:bCs/>
          <w:u w:val="single"/>
          <w:rtl/>
        </w:rPr>
        <w:t>מהותית</w:t>
      </w:r>
      <w:r>
        <w:rPr>
          <w:rFonts w:ascii="David" w:hAnsi="David" w:cs="David" w:hint="cs"/>
          <w:rtl/>
        </w:rPr>
        <w:t xml:space="preserve"> - </w:t>
      </w:r>
      <w:r w:rsidR="00C43395" w:rsidRPr="00E43432">
        <w:rPr>
          <w:rFonts w:ascii="David" w:hAnsi="David" w:cs="David"/>
          <w:rtl/>
        </w:rPr>
        <w:t xml:space="preserve">העותרות תטענה כי פעולת העירייה נגועה בחוסר סבירות קיצוני. כידוע, על העירייה כרשות ציבורית לפעול במסגרת מתחם הסבירות. חוסר סבירות מתבטא באי שקילת כל השיקולים הרלוונטיים, או מתן משקל מוטעה לשיקולים השונים (בג"ץ 935/89 </w:t>
      </w:r>
      <w:r w:rsidR="00C43395" w:rsidRPr="00E43432">
        <w:rPr>
          <w:rFonts w:ascii="David" w:hAnsi="David" w:cs="David"/>
          <w:b/>
          <w:bCs/>
          <w:rtl/>
        </w:rPr>
        <w:t>גנור נגד היועץ המשפטי לממשלה</w:t>
      </w:r>
      <w:r w:rsidR="00C43395" w:rsidRPr="00E43432">
        <w:rPr>
          <w:rFonts w:ascii="David" w:hAnsi="David" w:cs="David"/>
          <w:rtl/>
        </w:rPr>
        <w:t xml:space="preserve">, פ"ד מד(2) 485, 514). דרישת הסבירות מבססת את הצורך במתן משקל ראוי לשיקולים עניינים הקשורים בנסיבות המיוחדות של המקרה, תוך התייחסות לחשיבותם היחסית לצורך אותו עניין, ולאור תכלית החקיקה. כאשר חרגה הרשות ממתחם הסבירות, יתערב בית המשפט בהחלטתה (ראו, למשל, בג"ץ 7364/03 </w:t>
      </w:r>
      <w:r w:rsidR="00C43395" w:rsidRPr="00E43432">
        <w:rPr>
          <w:rFonts w:ascii="David" w:hAnsi="David" w:cs="David"/>
          <w:b/>
          <w:bCs/>
          <w:rtl/>
        </w:rPr>
        <w:t>ג'בארה נ' שר הפנים</w:t>
      </w:r>
      <w:r w:rsidR="00C43395" w:rsidRPr="00E43432">
        <w:rPr>
          <w:rFonts w:ascii="David" w:hAnsi="David" w:cs="David"/>
          <w:rtl/>
        </w:rPr>
        <w:t xml:space="preserve">, פ"ד נח(1) 769). </w:t>
      </w:r>
    </w:p>
    <w:p w14:paraId="3CB2ACED" w14:textId="7AC673E9" w:rsidR="00793145" w:rsidRPr="00D4576B" w:rsidRDefault="00793145" w:rsidP="00E36628">
      <w:pPr>
        <w:numPr>
          <w:ilvl w:val="0"/>
          <w:numId w:val="4"/>
        </w:numPr>
        <w:tabs>
          <w:tab w:val="num" w:pos="540"/>
        </w:tabs>
        <w:spacing w:before="240" w:line="360" w:lineRule="auto"/>
        <w:jc w:val="both"/>
        <w:rPr>
          <w:rFonts w:ascii="David" w:hAnsi="David" w:cs="David"/>
        </w:rPr>
      </w:pPr>
      <w:r w:rsidRPr="00D4576B">
        <w:rPr>
          <w:rFonts w:ascii="David" w:hAnsi="David" w:cs="David" w:hint="cs"/>
          <w:rtl/>
        </w:rPr>
        <w:t xml:space="preserve">בהקשר זה, משהמשיבה הכמינה את התבחינים (ככל שאלו קיימים) ואין כל פרוטוקול דיון שניתן ללמוד ממנו על השיקולים ששקלה המשיבה, ממילא יש להעביר לכתפיה את הנטל להראות כי לא נשקלו שיקולים זרים, וכי כלל השיקולים הרלבנטיים נשקלו וניתן להם משקל ראוי. אלא שכבר כעת ברור שהזכות החוקתית לשוויון, </w:t>
      </w:r>
      <w:r w:rsidR="000F47A7" w:rsidRPr="00D4576B">
        <w:rPr>
          <w:rFonts w:ascii="David" w:hAnsi="David" w:cs="David" w:hint="cs"/>
          <w:rtl/>
        </w:rPr>
        <w:t xml:space="preserve">לכבוד </w:t>
      </w:r>
      <w:r w:rsidRPr="00D4576B">
        <w:rPr>
          <w:rFonts w:ascii="David" w:hAnsi="David" w:cs="David" w:hint="cs"/>
          <w:rtl/>
        </w:rPr>
        <w:t xml:space="preserve">לחופש מדת ולחופש דת, ולאוטונומיה, לא נשקלו. די בכך כדי להביא למסקנה כי ההחלטה חורגת בצורה קיצונית ממתחם הסבירות. </w:t>
      </w:r>
    </w:p>
    <w:p w14:paraId="666617B7" w14:textId="77777777" w:rsidR="00D4576B" w:rsidRDefault="00D4576B" w:rsidP="000B6F36">
      <w:pPr>
        <w:pStyle w:val="ac"/>
        <w:spacing w:before="240" w:line="360" w:lineRule="auto"/>
        <w:ind w:left="0" w:right="0" w:firstLine="0"/>
        <w:jc w:val="both"/>
        <w:rPr>
          <w:rFonts w:ascii="David" w:hAnsi="David"/>
          <w:b/>
          <w:bCs/>
          <w:sz w:val="28"/>
          <w:szCs w:val="28"/>
          <w:rtl/>
        </w:rPr>
      </w:pPr>
    </w:p>
    <w:p w14:paraId="25C1174A" w14:textId="15CCA1C1" w:rsidR="00E1756F" w:rsidRDefault="00793145" w:rsidP="000B6F36">
      <w:pPr>
        <w:pStyle w:val="ac"/>
        <w:spacing w:before="240" w:line="360" w:lineRule="auto"/>
        <w:ind w:left="0" w:right="0" w:firstLine="0"/>
        <w:jc w:val="both"/>
        <w:rPr>
          <w:rFonts w:ascii="David" w:hAnsi="David"/>
          <w:b/>
          <w:bCs/>
          <w:sz w:val="28"/>
          <w:szCs w:val="28"/>
          <w:rtl/>
        </w:rPr>
      </w:pPr>
      <w:r>
        <w:rPr>
          <w:rFonts w:ascii="David" w:hAnsi="David" w:hint="cs"/>
          <w:b/>
          <w:bCs/>
          <w:sz w:val="28"/>
          <w:szCs w:val="28"/>
          <w:rtl/>
        </w:rPr>
        <w:lastRenderedPageBreak/>
        <w:t>ההחלטה אינה עומדת במבחני פסקת ההגבלה</w:t>
      </w:r>
    </w:p>
    <w:p w14:paraId="5FC25DD2" w14:textId="77777777" w:rsidR="00793145" w:rsidRDefault="00793145" w:rsidP="006D529E">
      <w:pPr>
        <w:numPr>
          <w:ilvl w:val="0"/>
          <w:numId w:val="4"/>
        </w:numPr>
        <w:tabs>
          <w:tab w:val="num" w:pos="540"/>
        </w:tabs>
        <w:spacing w:before="240" w:line="360" w:lineRule="auto"/>
        <w:jc w:val="both"/>
        <w:rPr>
          <w:rFonts w:ascii="David" w:hAnsi="David" w:cs="David"/>
        </w:rPr>
      </w:pPr>
      <w:r>
        <w:rPr>
          <w:rFonts w:ascii="David" w:hAnsi="David" w:cs="David" w:hint="cs"/>
          <w:rtl/>
        </w:rPr>
        <w:t xml:space="preserve">כידוע, רשות תהיה רשאית לפגוע בזכות חוקתית רק בהתקיים ארבעה תנאים </w:t>
      </w:r>
      <w:r>
        <w:rPr>
          <w:rFonts w:ascii="David" w:hAnsi="David" w:cs="David"/>
          <w:rtl/>
        </w:rPr>
        <w:t>–</w:t>
      </w:r>
      <w:r>
        <w:rPr>
          <w:rFonts w:ascii="David" w:hAnsi="David" w:cs="David" w:hint="cs"/>
          <w:rtl/>
        </w:rPr>
        <w:t xml:space="preserve"> כי הסמכות לפגוע בזכות נקבעה במפורש בדין, כי הפגיעה היא לתכלית ראויה, כי התכלית הולמת את ערכיה של מדינת ישראל כמדינה יהודית ודמוקרטית, וכי הפגיעה היא מידתית.</w:t>
      </w:r>
    </w:p>
    <w:p w14:paraId="4F09C2AD" w14:textId="77777777" w:rsidR="00793145" w:rsidRDefault="00793145" w:rsidP="006D529E">
      <w:pPr>
        <w:numPr>
          <w:ilvl w:val="0"/>
          <w:numId w:val="4"/>
        </w:numPr>
        <w:tabs>
          <w:tab w:val="num" w:pos="540"/>
        </w:tabs>
        <w:spacing w:before="240" w:line="360" w:lineRule="auto"/>
        <w:jc w:val="both"/>
        <w:rPr>
          <w:rFonts w:ascii="David" w:hAnsi="David" w:cs="David"/>
        </w:rPr>
      </w:pPr>
      <w:r>
        <w:rPr>
          <w:rFonts w:ascii="David" w:hAnsi="David" w:cs="David" w:hint="cs"/>
          <w:rtl/>
        </w:rPr>
        <w:t>תנאים אלו אינם מתקיימים במקרה הנוכחי.</w:t>
      </w:r>
    </w:p>
    <w:p w14:paraId="06E73B00" w14:textId="01A9A471" w:rsidR="00793145" w:rsidRDefault="00793145" w:rsidP="006D529E">
      <w:pPr>
        <w:numPr>
          <w:ilvl w:val="0"/>
          <w:numId w:val="4"/>
        </w:numPr>
        <w:tabs>
          <w:tab w:val="num" w:pos="540"/>
        </w:tabs>
        <w:spacing w:before="240" w:line="360" w:lineRule="auto"/>
        <w:jc w:val="both"/>
        <w:rPr>
          <w:rFonts w:ascii="David" w:hAnsi="David" w:cs="David"/>
        </w:rPr>
      </w:pPr>
      <w:r>
        <w:rPr>
          <w:rFonts w:ascii="David" w:hAnsi="David" w:cs="David" w:hint="cs"/>
          <w:rtl/>
        </w:rPr>
        <w:t>ראשית, אין כל מקור סמכות שמתיר למשיבה להקצות משאבים באופן בלתי שוויוני לצורך עריכת חגיגות נישואין. הגם שבתשובת המשיבה לפניות המוקדמות אין כלל אזכור של מקור הסמכות שמכוחו ניתנה ההחלטה, אין בפקודת העיריות סעיף כלשהו שמתיר למשיבה לשקול שיקולים של אמונה דתית או נטייה מינית במסגרת הקצאת משאבים.</w:t>
      </w:r>
      <w:r w:rsidR="000F47A7">
        <w:rPr>
          <w:rFonts w:ascii="David" w:hAnsi="David" w:cs="David" w:hint="cs"/>
          <w:rtl/>
        </w:rPr>
        <w:t xml:space="preserve"> אדרבה, כבר נפסק כי ככלל, שיקולים אלה הינם שיקולים זרים שאסור לרשות לשקול בעת הקצאת משאבים</w:t>
      </w:r>
      <w:r w:rsidR="00B9459E">
        <w:rPr>
          <w:rFonts w:ascii="David" w:hAnsi="David" w:cs="David" w:hint="cs"/>
          <w:rtl/>
        </w:rPr>
        <w:t xml:space="preserve"> (ענין </w:t>
      </w:r>
      <w:r w:rsidR="00B9459E">
        <w:rPr>
          <w:rFonts w:ascii="David" w:hAnsi="David" w:cs="David" w:hint="cs"/>
          <w:b/>
          <w:bCs/>
          <w:rtl/>
        </w:rPr>
        <w:t xml:space="preserve">התנועה המסורתית, </w:t>
      </w:r>
      <w:r w:rsidR="00B9459E">
        <w:rPr>
          <w:rFonts w:ascii="David" w:hAnsi="David" w:cs="David" w:hint="cs"/>
          <w:rtl/>
        </w:rPr>
        <w:t xml:space="preserve">ענין </w:t>
      </w:r>
      <w:r w:rsidR="00B9459E">
        <w:rPr>
          <w:rFonts w:ascii="David" w:hAnsi="David" w:cs="David" w:hint="cs"/>
          <w:b/>
          <w:bCs/>
          <w:rtl/>
        </w:rPr>
        <w:t>הבית הפתוח)</w:t>
      </w:r>
      <w:r w:rsidR="000F47A7">
        <w:rPr>
          <w:rFonts w:ascii="David" w:hAnsi="David" w:cs="David" w:hint="cs"/>
          <w:rtl/>
        </w:rPr>
        <w:t>.</w:t>
      </w:r>
    </w:p>
    <w:p w14:paraId="333118A6" w14:textId="12FC35EA" w:rsidR="00793145" w:rsidRDefault="00793145" w:rsidP="00EF42E5">
      <w:pPr>
        <w:numPr>
          <w:ilvl w:val="0"/>
          <w:numId w:val="4"/>
        </w:numPr>
        <w:tabs>
          <w:tab w:val="num" w:pos="540"/>
        </w:tabs>
        <w:spacing w:before="240" w:line="360" w:lineRule="auto"/>
        <w:jc w:val="both"/>
        <w:rPr>
          <w:rFonts w:ascii="David" w:hAnsi="David" w:cs="David"/>
        </w:rPr>
      </w:pPr>
      <w:r>
        <w:rPr>
          <w:rFonts w:ascii="David" w:hAnsi="David" w:cs="David" w:hint="cs"/>
          <w:rtl/>
        </w:rPr>
        <w:t xml:space="preserve">בהמשך לכך, קשה לדמיין תכלית ראויה כלשהי, המבחינה בין בני זוג המבקשים להסדיר את מערכת היחסים ביניהם בטקס </w:t>
      </w:r>
      <w:r w:rsidR="00EF42E5">
        <w:rPr>
          <w:rFonts w:ascii="David" w:hAnsi="David" w:cs="David" w:hint="cs"/>
          <w:rtl/>
        </w:rPr>
        <w:t>אורתודוכסי באמצעות הרבנות</w:t>
      </w:r>
      <w:r>
        <w:rPr>
          <w:rFonts w:ascii="David" w:hAnsi="David" w:cs="David" w:hint="cs"/>
          <w:rtl/>
        </w:rPr>
        <w:t xml:space="preserve">, לבין בני זוג שאינם מעוניינים או אינם מסוגלים להסדיר את זוגיותם בטקס </w:t>
      </w:r>
      <w:r w:rsidR="00EF42E5">
        <w:rPr>
          <w:rFonts w:ascii="David" w:hAnsi="David" w:cs="David" w:hint="cs"/>
          <w:rtl/>
        </w:rPr>
        <w:t>כזה</w:t>
      </w:r>
      <w:r>
        <w:rPr>
          <w:rFonts w:ascii="David" w:hAnsi="David" w:cs="David" w:hint="cs"/>
          <w:rtl/>
        </w:rPr>
        <w:t xml:space="preserve">. </w:t>
      </w:r>
    </w:p>
    <w:p w14:paraId="7BA72E59" w14:textId="0CD15E09" w:rsidR="006D529E" w:rsidRPr="006D529E" w:rsidRDefault="00793145" w:rsidP="006D529E">
      <w:pPr>
        <w:numPr>
          <w:ilvl w:val="0"/>
          <w:numId w:val="4"/>
        </w:numPr>
        <w:tabs>
          <w:tab w:val="num" w:pos="540"/>
        </w:tabs>
        <w:spacing w:before="240" w:line="360" w:lineRule="auto"/>
        <w:jc w:val="both"/>
        <w:rPr>
          <w:rFonts w:ascii="David" w:hAnsi="David" w:cs="David"/>
        </w:rPr>
      </w:pPr>
      <w:r>
        <w:rPr>
          <w:rFonts w:ascii="David" w:hAnsi="David" w:cs="David" w:hint="cs"/>
          <w:rtl/>
        </w:rPr>
        <w:t xml:space="preserve">ממילא, אפילו אם היה מקור סמכות, ואפילו אם היו המשיבים מצביעים על תכלית ראויה כלשהי, הייתה המדיניות נכשלת גם במישור של דיני המידתיות. </w:t>
      </w:r>
      <w:r w:rsidR="006D529E" w:rsidRPr="006D529E">
        <w:rPr>
          <w:rFonts w:ascii="David" w:hAnsi="David" w:cs="David"/>
          <w:rtl/>
        </w:rPr>
        <w:t xml:space="preserve">דיני המידתיות, אשר תחולתם במישור החוקתי נובעת מלשונו של </w:t>
      </w:r>
      <w:hyperlink r:id="rId23" w:history="1">
        <w:r w:rsidR="006D529E" w:rsidRPr="006D529E">
          <w:rPr>
            <w:rFonts w:ascii="David" w:hAnsi="David" w:cs="David"/>
            <w:rtl/>
          </w:rPr>
          <w:t>סעיף 8</w:t>
        </w:r>
      </w:hyperlink>
      <w:r w:rsidR="006D529E" w:rsidRPr="006D529E">
        <w:rPr>
          <w:rFonts w:ascii="David" w:hAnsi="David" w:cs="David"/>
          <w:rtl/>
        </w:rPr>
        <w:t xml:space="preserve"> ל</w:t>
      </w:r>
      <w:hyperlink r:id="rId24" w:history="1">
        <w:r w:rsidR="006D529E" w:rsidRPr="006D529E">
          <w:rPr>
            <w:rFonts w:ascii="David" w:hAnsi="David" w:cs="David"/>
            <w:rtl/>
          </w:rPr>
          <w:t>חוק יסוד: כבוד האדם וחירותו</w:t>
        </w:r>
      </w:hyperlink>
      <w:r w:rsidR="006D529E" w:rsidRPr="006D529E">
        <w:rPr>
          <w:rFonts w:ascii="David" w:hAnsi="David" w:cs="David"/>
          <w:rtl/>
        </w:rPr>
        <w:t>, "מקרינים" גם על פעולות מנהליות, ומתווים את גבולות הביקורת השיפוטית עליהן. מבחני המשנה לבחינת מידתיותה של החלטה מנהלית נובעים מפסקת ההגבלה שב</w:t>
      </w:r>
      <w:hyperlink r:id="rId25" w:history="1">
        <w:r w:rsidR="006D529E" w:rsidRPr="006D529E">
          <w:rPr>
            <w:rFonts w:ascii="David" w:hAnsi="David" w:cs="David"/>
            <w:rtl/>
          </w:rPr>
          <w:t>חוק יסוד: כבוד האדם וחירותו</w:t>
        </w:r>
      </w:hyperlink>
      <w:r w:rsidR="006D529E" w:rsidRPr="006D529E">
        <w:rPr>
          <w:rFonts w:ascii="David" w:hAnsi="David" w:cs="David"/>
          <w:rtl/>
        </w:rPr>
        <w:t xml:space="preserve">. במסגרת זו יש לבדוק מבחנים אלה: האם קיים קשר רציונלי בין המטרה שאותה מבקשת הרשות המנהלית להשיג, לבין האמצעי שננקט להשגתה; האם הרשות בחרה באמצעי שפגיעתו פחותה ביותר, לצורך הגשמת אותה המטרה; והאם מתקיים יחס ראוי בין הפגיעה בזכויות, לבין התועלת הצומחת מאותה הפגיעה (בג"ץ 5077/11 </w:t>
      </w:r>
      <w:r w:rsidR="006D529E" w:rsidRPr="006D529E">
        <w:rPr>
          <w:rFonts w:ascii="David" w:hAnsi="David" w:cs="David"/>
          <w:b/>
          <w:bCs/>
          <w:rtl/>
        </w:rPr>
        <w:t xml:space="preserve">איזוטופיה מולקיולר אימג'ינג נ' הרוקח </w:t>
      </w:r>
      <w:r w:rsidR="006D529E" w:rsidRPr="006D529E">
        <w:rPr>
          <w:rFonts w:ascii="David" w:hAnsi="David" w:cs="David"/>
          <w:rtl/>
        </w:rPr>
        <w:t>המחוזי, פסקה 27)</w:t>
      </w:r>
    </w:p>
    <w:p w14:paraId="7AE4B729" w14:textId="77777777" w:rsidR="00607D11" w:rsidRDefault="006D529E" w:rsidP="00846069">
      <w:pPr>
        <w:numPr>
          <w:ilvl w:val="0"/>
          <w:numId w:val="4"/>
        </w:numPr>
        <w:tabs>
          <w:tab w:val="num" w:pos="540"/>
        </w:tabs>
        <w:spacing w:before="240" w:line="360" w:lineRule="auto"/>
        <w:jc w:val="both"/>
        <w:rPr>
          <w:rFonts w:ascii="David" w:hAnsi="David" w:cs="David"/>
        </w:rPr>
      </w:pPr>
      <w:r w:rsidRPr="00607D11">
        <w:rPr>
          <w:rFonts w:ascii="David" w:hAnsi="David" w:cs="David" w:hint="cs"/>
          <w:rtl/>
        </w:rPr>
        <w:t xml:space="preserve">המטרה שמבקשת המשיבה להשיג היא לאפשר לתושבי העיר לחגוג את טקס הנישואים שלהם במגבלות הקורונה. המשיבה מבהירה כי היא מאפשרת לעשות שימוש בגנים רק לצורך טקסי נישואים ולא טקסים אחרים וכי היא מגבילה את טקסי הנישואים רק לכאלה הרשומים כדין כי להימנע מעריכת ארועים אחרים "במסווה" של נישואין. ברי כי מניעת שימוש לרעה במיזם אינה מצדיקה את הפלייתם של זוגות הנישאים מחוץ לרבנות. </w:t>
      </w:r>
    </w:p>
    <w:p w14:paraId="1D58711B" w14:textId="557EC1FC" w:rsidR="00607D11" w:rsidRDefault="006D529E" w:rsidP="00846069">
      <w:pPr>
        <w:numPr>
          <w:ilvl w:val="0"/>
          <w:numId w:val="4"/>
        </w:numPr>
        <w:tabs>
          <w:tab w:val="num" w:pos="540"/>
        </w:tabs>
        <w:spacing w:before="240" w:line="360" w:lineRule="auto"/>
        <w:jc w:val="both"/>
        <w:rPr>
          <w:rFonts w:ascii="David" w:hAnsi="David" w:cs="David"/>
        </w:rPr>
      </w:pPr>
      <w:r w:rsidRPr="00607D11">
        <w:rPr>
          <w:rFonts w:ascii="David" w:hAnsi="David" w:cs="David" w:hint="cs"/>
          <w:rtl/>
        </w:rPr>
        <w:t xml:space="preserve">גם אם ניתן לטעון שהגבלת השתתפות במיזם רק לזוגות הרשומים לנישואין מקיימת את </w:t>
      </w:r>
      <w:r w:rsidRPr="00607D11">
        <w:rPr>
          <w:rFonts w:ascii="David" w:hAnsi="David" w:cs="David"/>
          <w:b/>
          <w:bCs/>
          <w:rtl/>
        </w:rPr>
        <w:t>המבחן הראשון</w:t>
      </w:r>
      <w:r w:rsidRPr="00607D11">
        <w:rPr>
          <w:rFonts w:ascii="David" w:hAnsi="David" w:cs="David" w:hint="cs"/>
          <w:b/>
          <w:bCs/>
          <w:rtl/>
        </w:rPr>
        <w:t xml:space="preserve">, </w:t>
      </w:r>
      <w:r w:rsidRPr="00607D11">
        <w:rPr>
          <w:rFonts w:ascii="David" w:hAnsi="David" w:cs="David" w:hint="cs"/>
          <w:rtl/>
        </w:rPr>
        <w:t>ברי כי היא אינה עומדת ב</w:t>
      </w:r>
      <w:r w:rsidRPr="00607D11">
        <w:rPr>
          <w:rFonts w:ascii="David" w:hAnsi="David" w:cs="David"/>
          <w:b/>
          <w:bCs/>
          <w:rtl/>
        </w:rPr>
        <w:t>מבחן השני</w:t>
      </w:r>
      <w:r w:rsidRPr="00607D11">
        <w:rPr>
          <w:rFonts w:ascii="David" w:hAnsi="David" w:cs="David"/>
          <w:rtl/>
        </w:rPr>
        <w:t xml:space="preserve"> </w:t>
      </w:r>
      <w:r w:rsidRPr="00607D11">
        <w:rPr>
          <w:rFonts w:ascii="David" w:hAnsi="David" w:cs="David" w:hint="cs"/>
          <w:rtl/>
        </w:rPr>
        <w:t xml:space="preserve">שכן </w:t>
      </w:r>
      <w:r w:rsidRPr="00607D11">
        <w:rPr>
          <w:rFonts w:ascii="David" w:hAnsi="David" w:cs="David"/>
          <w:rtl/>
        </w:rPr>
        <w:t xml:space="preserve">מבין מגוון האמצעים הקיימים כדי לקדם את </w:t>
      </w:r>
      <w:r w:rsidRPr="00607D11">
        <w:rPr>
          <w:rFonts w:ascii="David" w:hAnsi="David" w:cs="David" w:hint="cs"/>
          <w:rtl/>
        </w:rPr>
        <w:t xml:space="preserve">תכלית המיזם, </w:t>
      </w:r>
      <w:r w:rsidRPr="00607D11">
        <w:rPr>
          <w:rFonts w:ascii="David" w:hAnsi="David" w:cs="David"/>
          <w:rtl/>
        </w:rPr>
        <w:t xml:space="preserve">נבחר האמצעי שפגיעתו בזכות היסוד </w:t>
      </w:r>
      <w:r w:rsidRPr="00607D11">
        <w:rPr>
          <w:rFonts w:ascii="David" w:hAnsi="David" w:cs="David" w:hint="cs"/>
          <w:rtl/>
        </w:rPr>
        <w:t>היא החמורה ביותר</w:t>
      </w:r>
      <w:r w:rsidRPr="00607D11">
        <w:rPr>
          <w:rFonts w:ascii="David" w:hAnsi="David" w:cs="David"/>
          <w:rtl/>
        </w:rPr>
        <w:t xml:space="preserve">, </w:t>
      </w:r>
      <w:r w:rsidRPr="00607D11">
        <w:rPr>
          <w:rFonts w:ascii="David" w:hAnsi="David" w:cs="David" w:hint="cs"/>
          <w:rtl/>
        </w:rPr>
        <w:t xml:space="preserve">והפגיעה היא הרבה מעבר </w:t>
      </w:r>
      <w:r w:rsidRPr="00607D11">
        <w:rPr>
          <w:rFonts w:ascii="David" w:hAnsi="David" w:cs="David"/>
          <w:rtl/>
        </w:rPr>
        <w:t>לנדרש ל</w:t>
      </w:r>
      <w:r w:rsidRPr="00607D11">
        <w:rPr>
          <w:rFonts w:ascii="David" w:hAnsi="David" w:cs="David" w:hint="cs"/>
          <w:rtl/>
        </w:rPr>
        <w:t xml:space="preserve">צורך </w:t>
      </w:r>
      <w:r w:rsidRPr="00607D11">
        <w:rPr>
          <w:rFonts w:ascii="David" w:hAnsi="David" w:cs="David"/>
          <w:rtl/>
        </w:rPr>
        <w:t xml:space="preserve">השגת התכלית. </w:t>
      </w:r>
      <w:r w:rsidRPr="00607D11">
        <w:rPr>
          <w:rFonts w:ascii="David" w:hAnsi="David" w:cs="David" w:hint="cs"/>
          <w:rtl/>
        </w:rPr>
        <w:t xml:space="preserve">על מנת לוודא כי אכן הארוע הוא טקס נישואים </w:t>
      </w:r>
      <w:r w:rsidRPr="00607D11">
        <w:rPr>
          <w:rFonts w:ascii="David" w:hAnsi="David" w:cs="David"/>
          <w:rtl/>
        </w:rPr>
        <w:t xml:space="preserve">ניתן היה </w:t>
      </w:r>
      <w:r w:rsidRPr="00607D11">
        <w:rPr>
          <w:rFonts w:ascii="David" w:hAnsi="David" w:cs="David" w:hint="cs"/>
          <w:rtl/>
        </w:rPr>
        <w:t xml:space="preserve">לבקש כי בני הזוג יעבירו את ההזמנה לארוע, ובמידה שהזוג נישא </w:t>
      </w:r>
    </w:p>
    <w:p w14:paraId="2F4B7124" w14:textId="7E5BA867" w:rsidR="006D529E" w:rsidRPr="00607D11" w:rsidRDefault="006D529E" w:rsidP="00607D11">
      <w:pPr>
        <w:tabs>
          <w:tab w:val="num" w:pos="540"/>
        </w:tabs>
        <w:spacing w:before="240" w:line="360" w:lineRule="auto"/>
        <w:ind w:left="510"/>
        <w:jc w:val="both"/>
        <w:rPr>
          <w:rFonts w:ascii="David" w:hAnsi="David" w:cs="David"/>
        </w:rPr>
      </w:pPr>
      <w:r w:rsidRPr="00607D11">
        <w:rPr>
          <w:rFonts w:ascii="David" w:hAnsi="David" w:cs="David" w:hint="cs"/>
          <w:rtl/>
        </w:rPr>
        <w:lastRenderedPageBreak/>
        <w:t>באמצעות גוף כלשהו (</w:t>
      </w:r>
      <w:r w:rsidR="0088099C" w:rsidRPr="00607D11">
        <w:rPr>
          <w:rFonts w:ascii="David" w:hAnsi="David" w:cs="David" w:hint="cs"/>
          <w:rtl/>
        </w:rPr>
        <w:t>כגון העותרות 3-4</w:t>
      </w:r>
      <w:r w:rsidRPr="00607D11">
        <w:rPr>
          <w:rFonts w:ascii="David" w:hAnsi="David" w:cs="David" w:hint="cs"/>
          <w:rtl/>
        </w:rPr>
        <w:t xml:space="preserve">) </w:t>
      </w:r>
      <w:r w:rsidRPr="00607D11">
        <w:rPr>
          <w:rFonts w:ascii="David" w:hAnsi="David" w:cs="David"/>
          <w:rtl/>
        </w:rPr>
        <w:t>–</w:t>
      </w:r>
      <w:r w:rsidRPr="00607D11">
        <w:rPr>
          <w:rFonts w:ascii="David" w:hAnsi="David" w:cs="David" w:hint="cs"/>
          <w:rtl/>
        </w:rPr>
        <w:t xml:space="preserve"> לבקש את אישור הגוף</w:t>
      </w:r>
      <w:r w:rsidR="0088099C" w:rsidRPr="00607D11">
        <w:rPr>
          <w:rFonts w:ascii="David" w:hAnsi="David" w:cs="David" w:hint="cs"/>
          <w:rtl/>
        </w:rPr>
        <w:t xml:space="preserve"> המשיא</w:t>
      </w:r>
      <w:r w:rsidRPr="00607D11">
        <w:rPr>
          <w:rFonts w:ascii="David" w:hAnsi="David" w:cs="David"/>
          <w:rtl/>
        </w:rPr>
        <w:t>.</w:t>
      </w:r>
    </w:p>
    <w:p w14:paraId="7C402E78" w14:textId="77777777" w:rsidR="006D529E" w:rsidRPr="006D529E" w:rsidRDefault="006D529E" w:rsidP="006D529E">
      <w:pPr>
        <w:numPr>
          <w:ilvl w:val="0"/>
          <w:numId w:val="4"/>
        </w:numPr>
        <w:tabs>
          <w:tab w:val="num" w:pos="540"/>
        </w:tabs>
        <w:spacing w:before="240" w:line="360" w:lineRule="auto"/>
        <w:jc w:val="both"/>
        <w:rPr>
          <w:rFonts w:ascii="David" w:hAnsi="David" w:cs="David"/>
          <w:rtl/>
        </w:rPr>
      </w:pPr>
      <w:r w:rsidRPr="006D529E">
        <w:rPr>
          <w:rFonts w:ascii="David" w:hAnsi="David" w:cs="David"/>
          <w:b/>
          <w:bCs/>
          <w:rtl/>
        </w:rPr>
        <w:t>המבחן השלישי</w:t>
      </w:r>
      <w:r w:rsidRPr="006D529E">
        <w:rPr>
          <w:rFonts w:ascii="David" w:hAnsi="David" w:cs="David"/>
          <w:rtl/>
        </w:rPr>
        <w:t xml:space="preserve"> בו</w:t>
      </w:r>
      <w:bookmarkStart w:id="0" w:name="_GoBack"/>
      <w:bookmarkEnd w:id="0"/>
      <w:r w:rsidRPr="006D529E">
        <w:rPr>
          <w:rFonts w:ascii="David" w:hAnsi="David" w:cs="David"/>
          <w:rtl/>
        </w:rPr>
        <w:t xml:space="preserve">חן את ההתאמה בין מידת התועלת הצומחת מן הפעולה </w:t>
      </w:r>
      <w:r>
        <w:rPr>
          <w:rFonts w:ascii="David" w:hAnsi="David" w:cs="David" w:hint="cs"/>
          <w:rtl/>
        </w:rPr>
        <w:t xml:space="preserve">הפוגעת </w:t>
      </w:r>
      <w:r w:rsidRPr="006D529E">
        <w:rPr>
          <w:rFonts w:ascii="David" w:hAnsi="David" w:cs="David"/>
          <w:rtl/>
        </w:rPr>
        <w:t>ובין מידת הפגיעה בזכות היסוד.</w:t>
      </w:r>
      <w:r>
        <w:rPr>
          <w:rFonts w:ascii="David" w:hAnsi="David" w:cs="David" w:hint="cs"/>
          <w:rtl/>
        </w:rPr>
        <w:t xml:space="preserve"> ברי כי התנהלות המשיבה אינה עומדת אף במבחן זה שכן לא ברור כלל איזו תועלת מופקת מהמגבלה ולעומת זאת, כפי שתואר לעיל הפגיעה בשוויון, בכבוד, בחופש הדת ובפלורליזם היא קשה וחמורה.</w:t>
      </w:r>
      <w:r w:rsidRPr="006D529E">
        <w:rPr>
          <w:rFonts w:ascii="David" w:hAnsi="David" w:cs="David"/>
          <w:rtl/>
        </w:rPr>
        <w:t xml:space="preserve"> </w:t>
      </w:r>
    </w:p>
    <w:p w14:paraId="11F62A96" w14:textId="77777777" w:rsidR="00917553" w:rsidRDefault="00917553" w:rsidP="00917553">
      <w:pPr>
        <w:pStyle w:val="ac"/>
        <w:spacing w:before="240" w:line="360" w:lineRule="auto"/>
        <w:ind w:left="0" w:right="0" w:firstLine="386"/>
        <w:jc w:val="both"/>
        <w:rPr>
          <w:rFonts w:ascii="David" w:hAnsi="David"/>
          <w:b/>
          <w:bCs/>
          <w:sz w:val="28"/>
          <w:szCs w:val="28"/>
          <w:u w:val="single"/>
          <w:rtl/>
        </w:rPr>
      </w:pPr>
      <w:r>
        <w:rPr>
          <w:rFonts w:ascii="David" w:hAnsi="David" w:hint="cs"/>
          <w:b/>
          <w:bCs/>
          <w:sz w:val="28"/>
          <w:szCs w:val="28"/>
          <w:u w:val="single"/>
          <w:rtl/>
        </w:rPr>
        <w:t>הפרת חוק איסור הפליה</w:t>
      </w:r>
    </w:p>
    <w:p w14:paraId="7F382E5B" w14:textId="58E77DFE" w:rsidR="006D7BC5" w:rsidRDefault="006D7BC5" w:rsidP="006D7BC5">
      <w:pPr>
        <w:numPr>
          <w:ilvl w:val="0"/>
          <w:numId w:val="4"/>
        </w:numPr>
        <w:autoSpaceDE/>
        <w:autoSpaceDN/>
        <w:spacing w:afterLines="50" w:after="120" w:line="360" w:lineRule="auto"/>
        <w:jc w:val="both"/>
        <w:rPr>
          <w:rFonts w:ascii="David" w:hAnsi="David" w:cs="David"/>
        </w:rPr>
      </w:pPr>
      <w:r>
        <w:rPr>
          <w:rFonts w:ascii="David" w:hAnsi="David" w:cs="David" w:hint="cs"/>
          <w:rtl/>
        </w:rPr>
        <w:t>תחולתה של הזכות לשוויון על המשיבה היא ישירה, נוכח הוראות חוק יסוד: כבוד האדם וחירותו.</w:t>
      </w:r>
      <w:r w:rsidR="003A250B">
        <w:rPr>
          <w:rFonts w:ascii="David" w:hAnsi="David" w:cs="David" w:hint="cs"/>
          <w:rtl/>
        </w:rPr>
        <w:t xml:space="preserve"> ואולם, התנהלות המשיבה לא רק שמפרה את עקרון השוויון החל עליה כרשות ציבורית, אלא יש בה אף הפרה של חוק איסור הפליה במוצרים, בשרותים ובכניסה למקומות בידור ומקומות ציבוריים, תשס"א </w:t>
      </w:r>
      <w:r w:rsidR="003A250B">
        <w:rPr>
          <w:rFonts w:ascii="David" w:hAnsi="David" w:cs="David"/>
          <w:rtl/>
        </w:rPr>
        <w:t>–</w:t>
      </w:r>
      <w:r w:rsidR="003A250B">
        <w:rPr>
          <w:rFonts w:ascii="David" w:hAnsi="David" w:cs="David" w:hint="cs"/>
          <w:rtl/>
        </w:rPr>
        <w:t xml:space="preserve"> 2000. </w:t>
      </w:r>
    </w:p>
    <w:p w14:paraId="26B37AFB" w14:textId="45A47954" w:rsidR="006D7BC5" w:rsidRDefault="006D7BC5" w:rsidP="007D520A">
      <w:pPr>
        <w:numPr>
          <w:ilvl w:val="0"/>
          <w:numId w:val="4"/>
        </w:numPr>
        <w:autoSpaceDE/>
        <w:autoSpaceDN/>
        <w:spacing w:afterLines="50" w:after="120" w:line="360" w:lineRule="auto"/>
        <w:jc w:val="both"/>
        <w:rPr>
          <w:rFonts w:ascii="David" w:hAnsi="David" w:cs="David"/>
        </w:rPr>
      </w:pPr>
      <w:r w:rsidRPr="00BC2E07">
        <w:rPr>
          <w:rFonts w:ascii="David" w:hAnsi="David" w:cs="David"/>
          <w:rtl/>
        </w:rPr>
        <w:t xml:space="preserve">ביטוי מובהק להחלת עקרון השוויון ולאיסור </w:t>
      </w:r>
      <w:r>
        <w:rPr>
          <w:rFonts w:ascii="David" w:hAnsi="David" w:cs="David" w:hint="cs"/>
          <w:rtl/>
        </w:rPr>
        <w:t>ה</w:t>
      </w:r>
      <w:r w:rsidRPr="00BC2E07">
        <w:rPr>
          <w:rFonts w:ascii="David" w:hAnsi="David" w:cs="David"/>
          <w:rtl/>
        </w:rPr>
        <w:t xml:space="preserve">פליה בתחומי המשפט הפרטי ניתן למצוא </w:t>
      </w:r>
      <w:r w:rsidRPr="00BC2E07">
        <w:rPr>
          <w:rFonts w:ascii="David" w:hAnsi="David" w:cs="David"/>
          <w:b/>
          <w:bCs/>
          <w:rtl/>
        </w:rPr>
        <w:t>בחוק איסור הפליה</w:t>
      </w:r>
      <w:r>
        <w:rPr>
          <w:rFonts w:ascii="David" w:hAnsi="David" w:cs="David" w:hint="cs"/>
          <w:rtl/>
        </w:rPr>
        <w:t>, החל</w:t>
      </w:r>
      <w:r w:rsidRPr="00BC2E07">
        <w:rPr>
          <w:rFonts w:ascii="David" w:hAnsi="David" w:cs="David"/>
          <w:rtl/>
        </w:rPr>
        <w:t xml:space="preserve"> על מגוון רחב של ספקי מוצרים ושירותים שההתקשרות בינם ובין צרכני המוצר או השירות אינה אלא התקשרות חוזית - פרטית. חוק זה מתערב בחופש ההתקשרות החוזית ואוסר על ספק המוצר או נותן "שירות ציבורי" כהגדרתו באותו חוק, אף אם הוא גורם פרטי, להפלות "בהספקת  המוצר או השירות הציבורי, במתן הכניסה למקום הציבורי או במתן שירות במקום הציבורי, מחמת גזע, דת או </w:t>
      </w:r>
      <w:r w:rsidRPr="00B72859">
        <w:rPr>
          <w:rFonts w:ascii="David" w:hAnsi="David" w:cs="David"/>
          <w:b/>
          <w:bCs/>
          <w:rtl/>
        </w:rPr>
        <w:t>קבוצה דתית</w:t>
      </w:r>
      <w:r w:rsidRPr="00BC2E07">
        <w:rPr>
          <w:rFonts w:ascii="David" w:hAnsi="David" w:cs="David"/>
          <w:rtl/>
        </w:rPr>
        <w:t xml:space="preserve">, לאום, ארץ מוצא, מין, </w:t>
      </w:r>
      <w:r w:rsidRPr="00B72859">
        <w:rPr>
          <w:rFonts w:ascii="David" w:hAnsi="David" w:cs="David"/>
          <w:b/>
          <w:bCs/>
          <w:rtl/>
        </w:rPr>
        <w:t>נטיה מינית, השקפה</w:t>
      </w:r>
      <w:r w:rsidRPr="00BC2E07">
        <w:rPr>
          <w:rFonts w:ascii="David" w:hAnsi="David" w:cs="David"/>
          <w:rtl/>
        </w:rPr>
        <w:t>, השתייכות מפלגתית, מעמד אישי או הורות". מקום ציבורי הוגדר באותו החוק באופן רחב והוא כולל כל מקום המיועד לשימוש הציבור לרבות בית מלון, מסעדה, בית קפה,</w:t>
      </w:r>
      <w:r w:rsidRPr="00B3605E">
        <w:rPr>
          <w:rFonts w:ascii="David" w:hAnsi="David" w:cs="David"/>
          <w:rtl/>
        </w:rPr>
        <w:t xml:space="preserve"> בריכת שחיה, קניון, ספריה ועוד</w:t>
      </w:r>
      <w:r>
        <w:rPr>
          <w:rFonts w:ascii="David" w:hAnsi="David" w:cs="David" w:hint="cs"/>
          <w:rtl/>
        </w:rPr>
        <w:t xml:space="preserve"> (ראו: </w:t>
      </w:r>
      <w:r w:rsidRPr="00B3605E">
        <w:rPr>
          <w:rFonts w:ascii="David" w:hAnsi="David" w:cs="David"/>
          <w:rtl/>
        </w:rPr>
        <w:t>בג"</w:t>
      </w:r>
      <w:r>
        <w:rPr>
          <w:rFonts w:ascii="David" w:hAnsi="David" w:cs="David" w:hint="cs"/>
          <w:rtl/>
        </w:rPr>
        <w:t>צ</w:t>
      </w:r>
      <w:r w:rsidRPr="00B3605E">
        <w:rPr>
          <w:rFonts w:ascii="David" w:hAnsi="David" w:cs="David"/>
          <w:rtl/>
        </w:rPr>
        <w:t xml:space="preserve"> 2911/05 </w:t>
      </w:r>
      <w:r w:rsidRPr="00BC2E07">
        <w:rPr>
          <w:rFonts w:ascii="David" w:hAnsi="David" w:cs="David"/>
          <w:b/>
          <w:bCs/>
          <w:rtl/>
        </w:rPr>
        <w:t>אלחנתי נ' שר האוצר</w:t>
      </w:r>
      <w:r w:rsidRPr="00B3605E">
        <w:rPr>
          <w:rFonts w:ascii="David" w:hAnsi="David" w:cs="David"/>
          <w:rtl/>
        </w:rPr>
        <w:t xml:space="preserve">, </w:t>
      </w:r>
      <w:r>
        <w:rPr>
          <w:rFonts w:ascii="David" w:hAnsi="David" w:cs="David" w:hint="cs"/>
          <w:rtl/>
        </w:rPr>
        <w:t xml:space="preserve">פ"ד </w:t>
      </w:r>
      <w:r w:rsidRPr="00B3605E">
        <w:rPr>
          <w:rFonts w:ascii="David" w:hAnsi="David" w:cs="David"/>
          <w:rtl/>
        </w:rPr>
        <w:t>סב(4) 406</w:t>
      </w:r>
      <w:r w:rsidR="007D520A">
        <w:rPr>
          <w:rFonts w:ascii="David" w:hAnsi="David" w:cs="David" w:hint="cs"/>
          <w:rtl/>
        </w:rPr>
        <w:t>)</w:t>
      </w:r>
      <w:r>
        <w:rPr>
          <w:rFonts w:ascii="David" w:hAnsi="David" w:cs="David" w:hint="cs"/>
          <w:rtl/>
        </w:rPr>
        <w:t>.</w:t>
      </w:r>
      <w:r w:rsidRPr="00711AEB">
        <w:rPr>
          <w:rFonts w:ascii="David" w:hAnsi="David" w:cs="David"/>
          <w:rtl/>
        </w:rPr>
        <w:t xml:space="preserve"> </w:t>
      </w:r>
      <w:r w:rsidRPr="002711F8">
        <w:rPr>
          <w:rFonts w:ascii="David" w:hAnsi="David" w:cs="David"/>
          <w:rtl/>
        </w:rPr>
        <w:t xml:space="preserve">הפרת </w:t>
      </w:r>
      <w:r>
        <w:rPr>
          <w:rFonts w:ascii="David" w:hAnsi="David" w:cs="David" w:hint="cs"/>
          <w:rtl/>
        </w:rPr>
        <w:t>החוק</w:t>
      </w:r>
      <w:r w:rsidRPr="002711F8">
        <w:rPr>
          <w:rFonts w:ascii="David" w:hAnsi="David" w:cs="David"/>
          <w:rtl/>
        </w:rPr>
        <w:t>, במעשה או במחדל, היא עוולה נזיקית (סעיף 5</w:t>
      </w:r>
      <w:r>
        <w:rPr>
          <w:rFonts w:ascii="David" w:hAnsi="David" w:cs="David" w:hint="cs"/>
          <w:rtl/>
        </w:rPr>
        <w:t xml:space="preserve"> לחוק</w:t>
      </w:r>
      <w:r w:rsidRPr="002711F8">
        <w:rPr>
          <w:rFonts w:ascii="David" w:hAnsi="David" w:cs="David"/>
          <w:rtl/>
        </w:rPr>
        <w:t>) ועבירה פלילית (סעיף 9</w:t>
      </w:r>
      <w:r>
        <w:rPr>
          <w:rFonts w:ascii="David" w:hAnsi="David" w:cs="David" w:hint="cs"/>
          <w:rtl/>
        </w:rPr>
        <w:t xml:space="preserve"> לחוק</w:t>
      </w:r>
      <w:r w:rsidRPr="002711F8">
        <w:rPr>
          <w:rFonts w:ascii="David" w:hAnsi="David" w:cs="David"/>
          <w:rtl/>
        </w:rPr>
        <w:t>).</w:t>
      </w:r>
    </w:p>
    <w:p w14:paraId="4E81C7D3" w14:textId="77777777" w:rsidR="006D7BC5" w:rsidRDefault="006D7BC5" w:rsidP="006D7BC5">
      <w:pPr>
        <w:numPr>
          <w:ilvl w:val="0"/>
          <w:numId w:val="4"/>
        </w:numPr>
        <w:autoSpaceDE/>
        <w:autoSpaceDN/>
        <w:spacing w:afterLines="50" w:after="120" w:line="360" w:lineRule="auto"/>
        <w:jc w:val="both"/>
        <w:rPr>
          <w:rFonts w:ascii="David" w:hAnsi="David" w:cs="David"/>
        </w:rPr>
      </w:pPr>
      <w:r>
        <w:rPr>
          <w:rFonts w:ascii="David" w:hAnsi="David" w:cs="David" w:hint="cs"/>
          <w:rtl/>
        </w:rPr>
        <w:t xml:space="preserve">בדברי ההסבר לחקיקתו של חוק איסור הפליה, נכתב, בין היתר, כך: </w:t>
      </w:r>
    </w:p>
    <w:p w14:paraId="63DBBEEB" w14:textId="0A8AF225" w:rsidR="006D7BC5" w:rsidRPr="00D4576B" w:rsidRDefault="006D7BC5" w:rsidP="00B72859">
      <w:pPr>
        <w:pStyle w:val="a3"/>
        <w:spacing w:after="240" w:line="312" w:lineRule="exact"/>
        <w:ind w:left="1360" w:right="851"/>
        <w:jc w:val="both"/>
        <w:rPr>
          <w:rFonts w:ascii="David" w:hAnsi="David" w:cs="David"/>
          <w:rtl/>
        </w:rPr>
      </w:pPr>
      <w:r w:rsidRPr="00D4576B">
        <w:rPr>
          <w:rFonts w:ascii="David" w:hAnsi="David" w:cs="David" w:hint="cs"/>
          <w:rtl/>
        </w:rPr>
        <w:t>"</w:t>
      </w:r>
      <w:r w:rsidRPr="00D4576B">
        <w:rPr>
          <w:rFonts w:ascii="David" w:hAnsi="David" w:cs="David"/>
          <w:rtl/>
        </w:rPr>
        <w:t>הרעיון הבסיסי העומד ביסוד חקיקה זו הוא שיש מקום להחלת עקרון השוויון ג</w:t>
      </w:r>
      <w:r w:rsidRPr="00D4576B">
        <w:rPr>
          <w:rFonts w:ascii="David" w:hAnsi="David" w:cs="David" w:hint="cs"/>
          <w:rtl/>
        </w:rPr>
        <w:t>ם</w:t>
      </w:r>
      <w:r w:rsidRPr="00D4576B">
        <w:rPr>
          <w:rFonts w:ascii="David" w:hAnsi="David" w:cs="David"/>
          <w:rtl/>
        </w:rPr>
        <w:t xml:space="preserve"> על עסקים פרטיים</w:t>
      </w:r>
      <w:r w:rsidRPr="00D4576B">
        <w:rPr>
          <w:rFonts w:ascii="David" w:hAnsi="David" w:cs="David" w:hint="cs"/>
          <w:rtl/>
        </w:rPr>
        <w:t>, ה</w:t>
      </w:r>
      <w:r w:rsidRPr="00D4576B">
        <w:rPr>
          <w:rFonts w:ascii="David" w:hAnsi="David" w:cs="David"/>
          <w:rtl/>
        </w:rPr>
        <w:t>פונים לציבור הרחב</w:t>
      </w:r>
      <w:r w:rsidRPr="00D4576B">
        <w:rPr>
          <w:rFonts w:ascii="David" w:hAnsi="David" w:cs="David" w:hint="cs"/>
          <w:rtl/>
        </w:rPr>
        <w:t xml:space="preserve">, </w:t>
      </w:r>
      <w:r w:rsidRPr="00D4576B">
        <w:rPr>
          <w:rFonts w:ascii="David" w:hAnsi="David" w:cs="David"/>
          <w:rtl/>
        </w:rPr>
        <w:t>בהצעת מוצר, שירות או מקום ציבורי</w:t>
      </w:r>
      <w:r w:rsidRPr="00D4576B">
        <w:rPr>
          <w:rFonts w:ascii="David" w:hAnsi="David" w:cs="David" w:hint="cs"/>
          <w:rtl/>
        </w:rPr>
        <w:t>... ה</w:t>
      </w:r>
      <w:r w:rsidRPr="00D4576B">
        <w:rPr>
          <w:rFonts w:ascii="David" w:hAnsi="David" w:cs="David"/>
          <w:rtl/>
        </w:rPr>
        <w:t>חוק המוצע עולה בקנה אחד עם חוק־יסוד: כבוד האדם וחירותו. הוא בא ליישם את התפיסה של כבו</w:t>
      </w:r>
      <w:r w:rsidRPr="00D4576B">
        <w:rPr>
          <w:rFonts w:ascii="David" w:hAnsi="David" w:cs="David" w:hint="cs"/>
          <w:rtl/>
        </w:rPr>
        <w:t>ד</w:t>
      </w:r>
      <w:r w:rsidRPr="00D4576B">
        <w:rPr>
          <w:rFonts w:ascii="David" w:hAnsi="David" w:cs="David"/>
          <w:rtl/>
        </w:rPr>
        <w:t xml:space="preserve"> האדם, להגן עליו מפני הפליה גם בתחום </w:t>
      </w:r>
      <w:r w:rsidRPr="00D4576B">
        <w:rPr>
          <w:rFonts w:ascii="David" w:hAnsi="David" w:cs="David" w:hint="cs"/>
          <w:rtl/>
        </w:rPr>
        <w:t>ה</w:t>
      </w:r>
      <w:r w:rsidRPr="00D4576B">
        <w:rPr>
          <w:rFonts w:ascii="David" w:hAnsi="David" w:cs="David"/>
          <w:rtl/>
        </w:rPr>
        <w:t>משפ</w:t>
      </w:r>
      <w:r w:rsidRPr="00D4576B">
        <w:rPr>
          <w:rFonts w:ascii="David" w:hAnsi="David" w:cs="David" w:hint="cs"/>
          <w:rtl/>
        </w:rPr>
        <w:t>ט</w:t>
      </w:r>
      <w:r w:rsidRPr="00D4576B">
        <w:rPr>
          <w:rFonts w:ascii="David" w:hAnsi="David" w:cs="David"/>
          <w:rtl/>
        </w:rPr>
        <w:t xml:space="preserve"> הפרטי, ולהקנות עילת תביעה אזרחית בשל הפליה בסייגים הקבועים בו</w:t>
      </w:r>
      <w:r w:rsidRPr="00D4576B">
        <w:rPr>
          <w:rFonts w:ascii="David" w:hAnsi="David" w:cs="David" w:hint="cs"/>
          <w:rtl/>
        </w:rPr>
        <w:t xml:space="preserve">". </w:t>
      </w:r>
    </w:p>
    <w:p w14:paraId="0F782207" w14:textId="77777777" w:rsidR="005E4547" w:rsidRDefault="005E4547" w:rsidP="00B72859">
      <w:pPr>
        <w:pStyle w:val="a3"/>
        <w:spacing w:after="240" w:line="312" w:lineRule="exact"/>
        <w:ind w:left="1360" w:right="851"/>
        <w:jc w:val="both"/>
        <w:rPr>
          <w:rFonts w:ascii="David" w:hAnsi="David" w:cs="David"/>
        </w:rPr>
      </w:pPr>
    </w:p>
    <w:p w14:paraId="2BCC6CF9" w14:textId="623ACED0" w:rsidR="00917553" w:rsidRDefault="006D7BC5" w:rsidP="005E4547">
      <w:pPr>
        <w:pStyle w:val="a3"/>
        <w:numPr>
          <w:ilvl w:val="0"/>
          <w:numId w:val="4"/>
        </w:numPr>
        <w:tabs>
          <w:tab w:val="num" w:pos="540"/>
        </w:tabs>
        <w:autoSpaceDE/>
        <w:autoSpaceDN/>
        <w:spacing w:before="240" w:line="360" w:lineRule="auto"/>
        <w:jc w:val="both"/>
        <w:rPr>
          <w:rFonts w:cs="David"/>
        </w:rPr>
      </w:pPr>
      <w:r>
        <w:rPr>
          <w:rFonts w:ascii="David" w:hAnsi="David" w:cs="David" w:hint="cs"/>
          <w:rtl/>
        </w:rPr>
        <w:t>חוק איסור הפליה נועד, אם כן, להחיל את עקרון היסוד בדבר שוויון והעדר הפליה, באופן רחב</w:t>
      </w:r>
      <w:r w:rsidR="005E4547">
        <w:rPr>
          <w:rFonts w:ascii="David" w:hAnsi="David" w:cs="David" w:hint="cs"/>
          <w:rtl/>
        </w:rPr>
        <w:t xml:space="preserve"> (ראו בענין זה רע"א 8821/09 </w:t>
      </w:r>
      <w:r w:rsidR="005E4547">
        <w:rPr>
          <w:rFonts w:ascii="David" w:hAnsi="David" w:cs="David" w:hint="cs"/>
          <w:b/>
          <w:bCs/>
          <w:rtl/>
        </w:rPr>
        <w:t xml:space="preserve">פרוז'אנסקי נ' חברת לילה טוב הפקות בע"מ; </w:t>
      </w:r>
      <w:r w:rsidR="005E4547">
        <w:rPr>
          <w:rFonts w:ascii="David" w:hAnsi="David" w:cs="David" w:hint="cs"/>
          <w:rtl/>
        </w:rPr>
        <w:t xml:space="preserve">רע"א 6897/14 </w:t>
      </w:r>
      <w:r w:rsidR="005E4547">
        <w:rPr>
          <w:rFonts w:ascii="David" w:hAnsi="David" w:cs="David" w:hint="cs"/>
          <w:b/>
          <w:bCs/>
          <w:rtl/>
        </w:rPr>
        <w:t xml:space="preserve">רדיו קול ברמה בע"מ נ' קולך </w:t>
      </w:r>
      <w:r w:rsidR="005E4547">
        <w:rPr>
          <w:rFonts w:ascii="David" w:hAnsi="David" w:cs="David"/>
          <w:b/>
          <w:bCs/>
          <w:rtl/>
        </w:rPr>
        <w:t>–</w:t>
      </w:r>
      <w:r w:rsidR="005E4547">
        <w:rPr>
          <w:rFonts w:ascii="David" w:hAnsi="David" w:cs="David" w:hint="cs"/>
          <w:b/>
          <w:bCs/>
          <w:rtl/>
        </w:rPr>
        <w:t xml:space="preserve"> פורום נשים דתיות)</w:t>
      </w:r>
      <w:r>
        <w:rPr>
          <w:rFonts w:ascii="David" w:hAnsi="David" w:cs="David" w:hint="cs"/>
          <w:rtl/>
        </w:rPr>
        <w:t>.</w:t>
      </w:r>
    </w:p>
    <w:p w14:paraId="00E412D2" w14:textId="4F542B54" w:rsidR="006D7BC5" w:rsidRDefault="006D7BC5" w:rsidP="005E4547">
      <w:pPr>
        <w:pStyle w:val="a3"/>
        <w:numPr>
          <w:ilvl w:val="0"/>
          <w:numId w:val="4"/>
        </w:numPr>
        <w:tabs>
          <w:tab w:val="num" w:pos="540"/>
        </w:tabs>
        <w:autoSpaceDE/>
        <w:autoSpaceDN/>
        <w:spacing w:before="240" w:line="360" w:lineRule="auto"/>
        <w:jc w:val="both"/>
        <w:rPr>
          <w:rFonts w:cs="David"/>
        </w:rPr>
      </w:pPr>
      <w:r>
        <w:rPr>
          <w:rFonts w:cs="David" w:hint="cs"/>
          <w:rtl/>
        </w:rPr>
        <w:t xml:space="preserve">והנה, במקרה הנוכחי המשיבה קבעה מדיניות של </w:t>
      </w:r>
      <w:r w:rsidR="005E4547">
        <w:rPr>
          <w:rFonts w:cs="David" w:hint="cs"/>
          <w:rtl/>
        </w:rPr>
        <w:t xml:space="preserve">מתן רשות שימוש בשטחים ציבוריים , המלווה בהטבה כלכלית בדמות "חבילת חתונה" </w:t>
      </w:r>
      <w:r>
        <w:rPr>
          <w:rFonts w:cs="David" w:hint="cs"/>
          <w:rtl/>
        </w:rPr>
        <w:t>לצורך עריכת טקסי נישואין, תוך שהיא מפלה במישרין על רקע נטייה מינית ועל רקע אמונה דתית.</w:t>
      </w:r>
      <w:r w:rsidR="005E4547">
        <w:rPr>
          <w:rFonts w:cs="David" w:hint="cs"/>
          <w:rtl/>
        </w:rPr>
        <w:t xml:space="preserve"> בכך שהמשיבה מאפשרת השתתפות במיזם רק למי שנישא בנישואים אורתודוכסיים באמצעות הרבנות, הפלתה המשיבה בהספקת המוצר (חבילת החתונה) ובמתן כניסה למקום ציבורי מטעמים של השתייכות דתית, נטייה מינית או השקפה.</w:t>
      </w:r>
    </w:p>
    <w:p w14:paraId="6CEFAC53" w14:textId="3DFF64C2" w:rsidR="006D7BC5" w:rsidRPr="005E4547" w:rsidRDefault="006D7BC5" w:rsidP="00D4576B">
      <w:pPr>
        <w:pStyle w:val="a3"/>
        <w:numPr>
          <w:ilvl w:val="0"/>
          <w:numId w:val="4"/>
        </w:numPr>
        <w:tabs>
          <w:tab w:val="num" w:pos="540"/>
        </w:tabs>
        <w:autoSpaceDE/>
        <w:autoSpaceDN/>
        <w:spacing w:before="240" w:line="360" w:lineRule="auto"/>
        <w:jc w:val="both"/>
        <w:rPr>
          <w:rFonts w:cs="David"/>
        </w:rPr>
      </w:pPr>
      <w:r w:rsidRPr="005E4547">
        <w:rPr>
          <w:rFonts w:cs="David" w:hint="cs"/>
          <w:rtl/>
        </w:rPr>
        <w:lastRenderedPageBreak/>
        <w:t>סוגיה זו, של רצונו של מקום העורך אירועי נישואין להגבי</w:t>
      </w:r>
      <w:r w:rsidR="005E4547" w:rsidRPr="005E4547">
        <w:rPr>
          <w:rFonts w:cs="David" w:hint="cs"/>
          <w:rtl/>
        </w:rPr>
        <w:t>ל</w:t>
      </w:r>
      <w:r w:rsidRPr="005E4547">
        <w:rPr>
          <w:rFonts w:cs="David" w:hint="cs"/>
          <w:rtl/>
        </w:rPr>
        <w:t xml:space="preserve"> את האפשרות להשתמש בשירותיו רק לבני זוג הנישואים על פי הדין הדתי, כבר נדונה בבתי המשפט והוכרעה בפרשת </w:t>
      </w:r>
      <w:r w:rsidRPr="005E4547">
        <w:rPr>
          <w:rFonts w:cs="David" w:hint="cs"/>
          <w:b/>
          <w:bCs/>
          <w:rtl/>
        </w:rPr>
        <w:t>יד השמונה (</w:t>
      </w:r>
      <w:r w:rsidRPr="005E4547">
        <w:rPr>
          <w:rFonts w:ascii="David" w:hAnsi="David" w:cs="David"/>
          <w:rtl/>
        </w:rPr>
        <w:t xml:space="preserve">ע"א 5116-11-12 </w:t>
      </w:r>
      <w:r w:rsidRPr="005E4547">
        <w:rPr>
          <w:rFonts w:ascii="David" w:hAnsi="David" w:cs="David"/>
          <w:b/>
          <w:bCs/>
          <w:rtl/>
        </w:rPr>
        <w:t>בית הארחה וגן אירועים יד השמונה נ' יעקבוביץ'</w:t>
      </w:r>
      <w:r w:rsidRPr="005E4547">
        <w:rPr>
          <w:rFonts w:ascii="David" w:hAnsi="David" w:cs="David" w:hint="cs"/>
          <w:rtl/>
        </w:rPr>
        <w:t>)</w:t>
      </w:r>
      <w:r w:rsidRPr="005E4547">
        <w:rPr>
          <w:rFonts w:cs="David" w:hint="cs"/>
          <w:rtl/>
        </w:rPr>
        <w:t>. באותו המקרה ביקש הקיבוץ למנוע מבנות זוג בנות אותו המין לקיים טקס נישואין, לכאורה בשל אמונה דתית.</w:t>
      </w:r>
      <w:r w:rsidR="005E4547" w:rsidRPr="005E4547">
        <w:rPr>
          <w:rFonts w:cs="David" w:hint="cs"/>
          <w:rtl/>
        </w:rPr>
        <w:t xml:space="preserve"> </w:t>
      </w:r>
      <w:r w:rsidRPr="005E4547">
        <w:rPr>
          <w:rFonts w:cs="David" w:hint="cs"/>
          <w:rtl/>
        </w:rPr>
        <w:t xml:space="preserve">בית המשפט פסק כי הקיבוץ הפר את הוראות חוק איסור הפליה, וחייב אותו בתשלום פיצויים לבנות הזוג. </w:t>
      </w:r>
    </w:p>
    <w:p w14:paraId="50694EB2" w14:textId="22EC1154" w:rsidR="006D7BC5" w:rsidRDefault="006D7BC5" w:rsidP="00A43770">
      <w:pPr>
        <w:pStyle w:val="a3"/>
        <w:numPr>
          <w:ilvl w:val="0"/>
          <w:numId w:val="4"/>
        </w:numPr>
        <w:tabs>
          <w:tab w:val="num" w:pos="540"/>
        </w:tabs>
        <w:autoSpaceDE/>
        <w:autoSpaceDN/>
        <w:spacing w:before="240" w:line="360" w:lineRule="auto"/>
        <w:jc w:val="both"/>
        <w:rPr>
          <w:rFonts w:cs="David"/>
        </w:rPr>
      </w:pPr>
      <w:r>
        <w:rPr>
          <w:rFonts w:cs="David" w:hint="cs"/>
          <w:rtl/>
        </w:rPr>
        <w:t>הדברים יפים גם למקרה הנוכחי. עיריית ירושלים רשאית שלא לאפשר להינשא כלל ועיקר ב</w:t>
      </w:r>
      <w:r w:rsidR="00A43770">
        <w:rPr>
          <w:rFonts w:cs="David" w:hint="cs"/>
          <w:rtl/>
        </w:rPr>
        <w:t>שטחים הציבוריים בעיר</w:t>
      </w:r>
      <w:r>
        <w:rPr>
          <w:rFonts w:cs="David" w:hint="cs"/>
          <w:rtl/>
        </w:rPr>
        <w:t>, ורשאית שלא לממן אירועים כאלו. יחד עם זאת, מרגע שהיא בוחרת ל</w:t>
      </w:r>
      <w:r w:rsidR="00A43770">
        <w:rPr>
          <w:rFonts w:cs="David" w:hint="cs"/>
          <w:rtl/>
        </w:rPr>
        <w:t>הציע אפשרות זו</w:t>
      </w:r>
      <w:r>
        <w:rPr>
          <w:rFonts w:cs="David" w:hint="cs"/>
          <w:rtl/>
        </w:rPr>
        <w:t xml:space="preserve">, חלה עליה החובה לספק שירות זה ללא אפליה ובשוויון. </w:t>
      </w:r>
    </w:p>
    <w:p w14:paraId="57C7A290" w14:textId="2A8478EC" w:rsidR="006D7BC5" w:rsidRPr="00A55B79" w:rsidRDefault="006D7BC5" w:rsidP="006D7BC5">
      <w:pPr>
        <w:pStyle w:val="a3"/>
        <w:numPr>
          <w:ilvl w:val="0"/>
          <w:numId w:val="4"/>
        </w:numPr>
        <w:tabs>
          <w:tab w:val="num" w:pos="540"/>
        </w:tabs>
        <w:autoSpaceDE/>
        <w:autoSpaceDN/>
        <w:spacing w:before="240" w:line="360" w:lineRule="auto"/>
        <w:jc w:val="both"/>
        <w:rPr>
          <w:rFonts w:cs="David"/>
          <w:rtl/>
        </w:rPr>
      </w:pPr>
      <w:r>
        <w:rPr>
          <w:rFonts w:cs="David" w:hint="cs"/>
          <w:rtl/>
        </w:rPr>
        <w:t xml:space="preserve">חובה זה, מכוח חוק איסור הפליה, היא </w:t>
      </w:r>
      <w:r w:rsidR="00A43770">
        <w:rPr>
          <w:rFonts w:cs="David" w:hint="cs"/>
          <w:rtl/>
        </w:rPr>
        <w:t xml:space="preserve">כאמור </w:t>
      </w:r>
      <w:r>
        <w:rPr>
          <w:rFonts w:cs="David" w:hint="cs"/>
          <w:rtl/>
        </w:rPr>
        <w:t xml:space="preserve">בנוסף לחובה הישירה שחלה על המשיבה מכוח כללי המשפט החוקתי והמנהלי. </w:t>
      </w:r>
    </w:p>
    <w:p w14:paraId="21E267CC" w14:textId="1D92547C" w:rsidR="00A43770" w:rsidRDefault="00A43770" w:rsidP="000B6F36">
      <w:pPr>
        <w:pStyle w:val="ac"/>
        <w:spacing w:before="240" w:line="360" w:lineRule="auto"/>
        <w:ind w:left="0" w:right="0" w:firstLine="0"/>
        <w:jc w:val="both"/>
        <w:rPr>
          <w:rFonts w:ascii="David" w:hAnsi="David"/>
          <w:b/>
          <w:bCs/>
          <w:sz w:val="28"/>
          <w:szCs w:val="28"/>
          <w:rtl/>
        </w:rPr>
      </w:pPr>
      <w:r>
        <w:rPr>
          <w:rFonts w:ascii="David" w:hAnsi="David" w:hint="cs"/>
          <w:b/>
          <w:bCs/>
          <w:sz w:val="28"/>
          <w:szCs w:val="28"/>
          <w:rtl/>
        </w:rPr>
        <w:t>הסעד הראוי</w:t>
      </w:r>
    </w:p>
    <w:p w14:paraId="49E5BAFB" w14:textId="77777777" w:rsidR="003C3BB2" w:rsidRPr="00B72859" w:rsidRDefault="003C3BB2" w:rsidP="00B72859">
      <w:pPr>
        <w:pStyle w:val="a3"/>
        <w:numPr>
          <w:ilvl w:val="0"/>
          <w:numId w:val="4"/>
        </w:numPr>
        <w:tabs>
          <w:tab w:val="num" w:pos="540"/>
        </w:tabs>
        <w:autoSpaceDE/>
        <w:autoSpaceDN/>
        <w:spacing w:before="240" w:line="360" w:lineRule="auto"/>
        <w:jc w:val="both"/>
        <w:rPr>
          <w:rFonts w:ascii="David" w:hAnsi="David" w:cs="David"/>
          <w:b/>
          <w:bCs/>
          <w:sz w:val="28"/>
          <w:szCs w:val="28"/>
        </w:rPr>
      </w:pPr>
      <w:r w:rsidRPr="00B72859">
        <w:rPr>
          <w:rFonts w:ascii="David" w:hAnsi="David" w:cs="David"/>
          <w:rtl/>
        </w:rPr>
        <w:t>ב</w:t>
      </w:r>
      <w:hyperlink r:id="rId26" w:history="1">
        <w:r w:rsidRPr="00B72859">
          <w:rPr>
            <w:rFonts w:ascii="David" w:hAnsi="David" w:cs="David"/>
            <w:rtl/>
          </w:rPr>
          <w:t xml:space="preserve">בג"ץ 637/89 </w:t>
        </w:r>
        <w:r w:rsidRPr="00B72859">
          <w:rPr>
            <w:rFonts w:ascii="David" w:hAnsi="David" w:cs="David"/>
            <w:b/>
            <w:bCs/>
            <w:rtl/>
          </w:rPr>
          <w:t>חוקה למדינת ישראל נ' שר האוצר</w:t>
        </w:r>
        <w:r w:rsidRPr="00B72859">
          <w:rPr>
            <w:rFonts w:ascii="David" w:hAnsi="David" w:cs="David"/>
            <w:rtl/>
          </w:rPr>
          <w:t xml:space="preserve"> פ"ד מו</w:t>
        </w:r>
      </w:hyperlink>
      <w:r w:rsidRPr="00B72859">
        <w:rPr>
          <w:rFonts w:ascii="David" w:hAnsi="David" w:cs="David"/>
          <w:rtl/>
        </w:rPr>
        <w:t xml:space="preserve"> (1) 191 נקבע כי בסיטואציה כמו במקרה דנן, זכאי המופלה לכך, שיוענקו לו אותן טובות הנאה או אותן זכויות המוענקות לאחרים, שאינם שונים ממנו. </w:t>
      </w:r>
      <w:r>
        <w:rPr>
          <w:rFonts w:ascii="David" w:hAnsi="David" w:cs="David" w:hint="cs"/>
          <w:rtl/>
        </w:rPr>
        <w:t xml:space="preserve">בפסק הדין ערך </w:t>
      </w:r>
      <w:r w:rsidRPr="00B72859">
        <w:rPr>
          <w:rFonts w:ascii="David" w:hAnsi="David" w:cs="David"/>
          <w:rtl/>
        </w:rPr>
        <w:t>השופט ברק אבחנה בין שלושה מצבים עקרוניים, שבהם פלוני טוען להפליה. המצב השלישי (המתאים לענייננו) הוא, שלפלוני ולאחרים שכמותו אין אינטרס המוגן באופן אובייקטיבי בדין. עם זאת, הדין הסמיך את הרשות השלטונית, עפ"י שיקול דעתה, להעניק אינטרס זה לפלוני ולאחרים. הרשות השלטונית עושה שימוש בשיקול דעתה, מעניקה את האינטרס לאחרים</w:t>
      </w:r>
      <w:r w:rsidRPr="003C3BB2">
        <w:rPr>
          <w:rFonts w:ascii="David" w:hAnsi="David" w:cs="David"/>
          <w:rtl/>
        </w:rPr>
        <w:t>, אך בדרך מפלה שוללת זאת מפלוני</w:t>
      </w:r>
      <w:r>
        <w:rPr>
          <w:rFonts w:ascii="David" w:hAnsi="David" w:cs="David" w:hint="cs"/>
          <w:rtl/>
        </w:rPr>
        <w:t>. ב</w:t>
      </w:r>
      <w:r w:rsidRPr="00B72859">
        <w:rPr>
          <w:rFonts w:ascii="David" w:hAnsi="David" w:cs="David"/>
          <w:rtl/>
        </w:rPr>
        <w:t>מצב דברים זה</w:t>
      </w:r>
      <w:r>
        <w:rPr>
          <w:rFonts w:ascii="David" w:hAnsi="David" w:cs="David" w:hint="cs"/>
          <w:rtl/>
        </w:rPr>
        <w:t>:</w:t>
      </w:r>
    </w:p>
    <w:p w14:paraId="11BFE5B4" w14:textId="4EED5097" w:rsidR="00A43770" w:rsidRDefault="003C3BB2" w:rsidP="00B72859">
      <w:pPr>
        <w:pStyle w:val="a3"/>
        <w:spacing w:after="240" w:line="312" w:lineRule="exact"/>
        <w:ind w:left="1360" w:right="851"/>
        <w:jc w:val="both"/>
        <w:rPr>
          <w:rFonts w:ascii="David" w:hAnsi="David" w:cs="David"/>
          <w:rtl/>
        </w:rPr>
      </w:pPr>
      <w:r w:rsidRPr="00B72859">
        <w:rPr>
          <w:rFonts w:ascii="David" w:hAnsi="David" w:cs="David"/>
          <w:rtl/>
        </w:rPr>
        <w:t xml:space="preserve"> "ההחלטה המפלה דינה להתבטל, ותחתיה חייבת לבוא החלטה המשווה את פלוני ואת האחרים. טול רשות שלטונית המחליטה להעניק סובסידיות לגופים שונים. אם הרשות השלטונית היתה מחליטה שלא להעניק סובסידיה לאיש, היתה פועלת במסגרת סמכותה. משהחליטה להעניק סובסידיה לאחרים ולמנוע את הסובסידיה מפלוני, השווה בתכונותיו לאותם אחרים, הריהי יוצרת בכך הפליה כנגד פלוני, וזכותו לקבל סובסידיה ככל האחרים. אם הרשות השלטונית מסרבת לפעול מתוך שוויון, ולהעניק סובסידיה גם לפלוני, </w:t>
      </w:r>
      <w:r w:rsidRPr="00B72859">
        <w:rPr>
          <w:rFonts w:ascii="David" w:hAnsi="David" w:cs="David"/>
          <w:b/>
          <w:bCs/>
          <w:rtl/>
        </w:rPr>
        <w:t>יבוא בית-המשפט ויחייב את הרשות השלטונית לעשות כן.</w:t>
      </w:r>
      <w:r w:rsidRPr="00B72859">
        <w:rPr>
          <w:rFonts w:ascii="David" w:hAnsi="David" w:cs="David"/>
          <w:rtl/>
        </w:rPr>
        <w:t xml:space="preserve"> אכן, חוסר השוויון הביא לשיקול פסול, ודינו של זה להטיל פגם בהחלטת הרשות השלטונית. </w:t>
      </w:r>
      <w:r w:rsidRPr="00B72859">
        <w:rPr>
          <w:rFonts w:ascii="David" w:hAnsi="David" w:cs="David"/>
          <w:b/>
          <w:bCs/>
          <w:rtl/>
        </w:rPr>
        <w:t>בית-משפט זה יצווה על הרשות השלטונית להפעיל את שיקול דעתה מחדש ולהעניק לפלוני את טובת ההנאה המוענקת לאחרים שכמותו</w:t>
      </w:r>
      <w:r w:rsidR="00AC72BB">
        <w:rPr>
          <w:rFonts w:ascii="David" w:hAnsi="David" w:cs="David" w:hint="cs"/>
          <w:b/>
          <w:bCs/>
          <w:rtl/>
        </w:rPr>
        <w:t xml:space="preserve">." </w:t>
      </w:r>
      <w:r w:rsidR="00AC72BB">
        <w:rPr>
          <w:rFonts w:ascii="David" w:hAnsi="David" w:cs="David" w:hint="cs"/>
          <w:rtl/>
        </w:rPr>
        <w:t>(בע' 205)</w:t>
      </w:r>
    </w:p>
    <w:p w14:paraId="01399C3B" w14:textId="6C0C9362" w:rsidR="00AC72BB" w:rsidRDefault="00AC72BB" w:rsidP="00B72859">
      <w:pPr>
        <w:pStyle w:val="a3"/>
        <w:spacing w:after="240" w:line="312" w:lineRule="exact"/>
        <w:ind w:left="1360" w:right="851"/>
        <w:jc w:val="both"/>
        <w:rPr>
          <w:rFonts w:ascii="David" w:hAnsi="David" w:cs="David"/>
          <w:rtl/>
        </w:rPr>
      </w:pPr>
    </w:p>
    <w:p w14:paraId="397F1A8D" w14:textId="26A85122" w:rsidR="00AC72BB" w:rsidRPr="00B72859" w:rsidRDefault="00AC72BB" w:rsidP="00B72859">
      <w:pPr>
        <w:pStyle w:val="a3"/>
        <w:numPr>
          <w:ilvl w:val="0"/>
          <w:numId w:val="4"/>
        </w:numPr>
        <w:tabs>
          <w:tab w:val="num" w:pos="540"/>
        </w:tabs>
        <w:autoSpaceDE/>
        <w:autoSpaceDN/>
        <w:spacing w:before="240" w:line="360" w:lineRule="auto"/>
        <w:jc w:val="both"/>
        <w:rPr>
          <w:rFonts w:ascii="David" w:hAnsi="David" w:cs="David"/>
          <w:sz w:val="28"/>
          <w:szCs w:val="28"/>
          <w:rtl/>
        </w:rPr>
      </w:pPr>
      <w:r>
        <w:rPr>
          <w:rFonts w:ascii="David" w:hAnsi="David" w:cs="David" w:hint="cs"/>
          <w:rtl/>
        </w:rPr>
        <w:t xml:space="preserve">אף במקרה זה, המשיבה אינה מחויבת בדין להעמיד לרשות תושבי העיר שטחים לקיום טקסי נישואים. ואולם, משהחליטה המשיבה לעשות כן, אולם הגבילה זאת רק למי שנישאים באמצעות הרבנות, ושללה זכות זו מיתר התושבים </w:t>
      </w:r>
      <w:r>
        <w:rPr>
          <w:rFonts w:ascii="David" w:hAnsi="David" w:cs="David"/>
          <w:rtl/>
        </w:rPr>
        <w:t>–</w:t>
      </w:r>
      <w:r>
        <w:rPr>
          <w:rFonts w:ascii="David" w:hAnsi="David" w:cs="David" w:hint="cs"/>
          <w:rtl/>
        </w:rPr>
        <w:t xml:space="preserve"> דוגמת העותרים 1-2, על בית המשפט להורות לה לפעול כדין ולהעניק הטבה זו לכל תושבי העיר המבקשים לעשות בה שימוש, וזאת ללא כל אפליה.</w:t>
      </w:r>
    </w:p>
    <w:p w14:paraId="4D99186E" w14:textId="43795C9A" w:rsidR="00C43395" w:rsidRPr="00E43432" w:rsidRDefault="00C43395" w:rsidP="000B6F36">
      <w:pPr>
        <w:pStyle w:val="ac"/>
        <w:spacing w:before="240" w:line="360" w:lineRule="auto"/>
        <w:ind w:left="0" w:right="0" w:firstLine="0"/>
        <w:jc w:val="both"/>
        <w:rPr>
          <w:rFonts w:ascii="David" w:hAnsi="David"/>
          <w:b/>
          <w:bCs/>
          <w:sz w:val="28"/>
          <w:szCs w:val="28"/>
          <w:rtl/>
        </w:rPr>
      </w:pPr>
      <w:r w:rsidRPr="00E43432">
        <w:rPr>
          <w:rFonts w:ascii="David" w:hAnsi="David"/>
          <w:b/>
          <w:bCs/>
          <w:sz w:val="28"/>
          <w:szCs w:val="28"/>
          <w:rtl/>
        </w:rPr>
        <w:lastRenderedPageBreak/>
        <w:t>ס</w:t>
      </w:r>
      <w:r w:rsidR="000B6F36">
        <w:rPr>
          <w:rFonts w:ascii="David" w:hAnsi="David"/>
          <w:b/>
          <w:bCs/>
          <w:sz w:val="28"/>
          <w:szCs w:val="28"/>
          <w:rtl/>
        </w:rPr>
        <w:t>יכום</w:t>
      </w:r>
    </w:p>
    <w:p w14:paraId="06468196" w14:textId="2159CC09" w:rsidR="00CF43A2" w:rsidRDefault="00CF43A2" w:rsidP="005A1A8D">
      <w:pPr>
        <w:numPr>
          <w:ilvl w:val="0"/>
          <w:numId w:val="4"/>
        </w:numPr>
        <w:tabs>
          <w:tab w:val="num" w:pos="540"/>
        </w:tabs>
        <w:spacing w:before="240" w:line="360" w:lineRule="auto"/>
        <w:jc w:val="both"/>
        <w:rPr>
          <w:rFonts w:ascii="David" w:hAnsi="David" w:cs="David"/>
        </w:rPr>
      </w:pPr>
      <w:r>
        <w:rPr>
          <w:rFonts w:ascii="David" w:hAnsi="David" w:cs="David" w:hint="cs"/>
          <w:rtl/>
        </w:rPr>
        <w:t xml:space="preserve">משבר הקורונה העמיד את תושבי המדינה </w:t>
      </w:r>
      <w:r>
        <w:rPr>
          <w:rFonts w:ascii="David" w:hAnsi="David" w:cs="David"/>
          <w:rtl/>
        </w:rPr>
        <w:t>–</w:t>
      </w:r>
      <w:r>
        <w:rPr>
          <w:rFonts w:ascii="David" w:hAnsi="David" w:cs="David" w:hint="cs"/>
          <w:rtl/>
        </w:rPr>
        <w:t xml:space="preserve"> כמו את יתר תושבי העולם </w:t>
      </w:r>
      <w:r>
        <w:rPr>
          <w:rFonts w:ascii="David" w:hAnsi="David" w:cs="David"/>
          <w:rtl/>
        </w:rPr>
        <w:t>–</w:t>
      </w:r>
      <w:r>
        <w:rPr>
          <w:rFonts w:ascii="David" w:hAnsi="David" w:cs="David" w:hint="cs"/>
          <w:rtl/>
        </w:rPr>
        <w:t xml:space="preserve"> בפני מציאות חדשה, הכרוכה בקשיים בלתי מבוטלים. במסגרת זו, יצאה המשיבה ביוזמה מבורכת, לפיה היא תסייע לזוגות תושבי העיר לקיים את חתונתם בשטחים ציבוריים, במגבלות הקורונה. אלא שלמרבה הצער, המשיבה הגבילה הטבה זו רק למי שנישאים בנישואים </w:t>
      </w:r>
      <w:r w:rsidR="005A1A8D">
        <w:rPr>
          <w:rFonts w:ascii="David" w:hAnsi="David" w:cs="David" w:hint="cs"/>
          <w:rtl/>
        </w:rPr>
        <w:t xml:space="preserve">אורתודוכסיים באמצעות הרבנות. בכך, פעלה המשיבה באופן שיש בו הפליה בוטה וחמורה, שפוגעת בכבודם של תושבי העיר, שאינם יכולים או אינם מעוניינים להינשא באמצעות הרבנות. התנהלות זו פוגעת גם בזכותם </w:t>
      </w:r>
      <w:r w:rsidR="00DA0E2D">
        <w:rPr>
          <w:rFonts w:ascii="David" w:hAnsi="David" w:cs="David" w:hint="cs"/>
          <w:rtl/>
        </w:rPr>
        <w:t>לאוטונומיה ובזכותם לחופש דת של תושבי העיר דוגמת העותרים 1-2, וה</w:t>
      </w:r>
      <w:r w:rsidR="005A1A8D">
        <w:rPr>
          <w:rFonts w:ascii="David" w:hAnsi="David" w:cs="David" w:hint="cs"/>
          <w:rtl/>
        </w:rPr>
        <w:t>י</w:t>
      </w:r>
      <w:r w:rsidR="00DA0E2D">
        <w:rPr>
          <w:rFonts w:ascii="David" w:hAnsi="David" w:cs="David" w:hint="cs"/>
          <w:rtl/>
        </w:rPr>
        <w:t>א</w:t>
      </w:r>
      <w:r w:rsidR="005A1A8D">
        <w:rPr>
          <w:rFonts w:ascii="David" w:hAnsi="David" w:cs="David" w:hint="cs"/>
          <w:rtl/>
        </w:rPr>
        <w:t xml:space="preserve"> נגועה בחוסר סבירות ואינה עומדת בתנאי פסקת ההגבלה. משכך, נדרשת התערבות בית המשפט הנכבד.</w:t>
      </w:r>
    </w:p>
    <w:p w14:paraId="54A63CDC" w14:textId="2CE2DB1B" w:rsidR="00421CC7" w:rsidRDefault="00421CC7" w:rsidP="004F46A2">
      <w:pPr>
        <w:numPr>
          <w:ilvl w:val="0"/>
          <w:numId w:val="4"/>
        </w:numPr>
        <w:tabs>
          <w:tab w:val="num" w:pos="540"/>
        </w:tabs>
        <w:spacing w:before="240" w:line="360" w:lineRule="auto"/>
        <w:jc w:val="both"/>
        <w:rPr>
          <w:rFonts w:ascii="David" w:hAnsi="David" w:cs="David"/>
        </w:rPr>
      </w:pPr>
      <w:r w:rsidRPr="00E43432">
        <w:rPr>
          <w:rFonts w:ascii="David" w:hAnsi="David" w:cs="David"/>
          <w:rtl/>
        </w:rPr>
        <w:t>לעתירה זו מצור</w:t>
      </w:r>
      <w:r w:rsidR="00DA0E2D">
        <w:rPr>
          <w:rFonts w:ascii="David" w:hAnsi="David" w:cs="David" w:hint="cs"/>
          <w:rtl/>
        </w:rPr>
        <w:t>פים</w:t>
      </w:r>
      <w:r w:rsidRPr="00E43432">
        <w:rPr>
          <w:rFonts w:ascii="David" w:hAnsi="David" w:cs="David"/>
          <w:rtl/>
        </w:rPr>
        <w:t xml:space="preserve"> תצהיר</w:t>
      </w:r>
      <w:r w:rsidR="00DA0E2D">
        <w:rPr>
          <w:rFonts w:ascii="David" w:hAnsi="David" w:cs="David" w:hint="cs"/>
          <w:rtl/>
        </w:rPr>
        <w:t>יהם של העותרים 1-2</w:t>
      </w:r>
      <w:r w:rsidR="0090569A">
        <w:rPr>
          <w:rFonts w:ascii="David" w:hAnsi="David" w:cs="David" w:hint="cs"/>
          <w:rtl/>
        </w:rPr>
        <w:t>,</w:t>
      </w:r>
      <w:r w:rsidR="00DA0E2D">
        <w:rPr>
          <w:rFonts w:ascii="David" w:hAnsi="David" w:cs="David" w:hint="cs"/>
          <w:rtl/>
        </w:rPr>
        <w:t xml:space="preserve"> </w:t>
      </w:r>
      <w:r w:rsidR="00D4576B">
        <w:rPr>
          <w:rFonts w:ascii="David" w:hAnsi="David" w:cs="David" w:hint="cs"/>
          <w:rtl/>
        </w:rPr>
        <w:t xml:space="preserve">תצהירה </w:t>
      </w:r>
      <w:r w:rsidR="00DA0E2D">
        <w:rPr>
          <w:rFonts w:ascii="David" w:hAnsi="David" w:cs="David" w:hint="cs"/>
          <w:rtl/>
        </w:rPr>
        <w:t xml:space="preserve">של </w:t>
      </w:r>
      <w:r w:rsidR="0090569A">
        <w:rPr>
          <w:rFonts w:ascii="David" w:hAnsi="David" w:cs="David" w:hint="cs"/>
          <w:rtl/>
        </w:rPr>
        <w:t xml:space="preserve">סמנכ"לית העותרת 3,   תצהירו של </w:t>
      </w:r>
      <w:r w:rsidR="004F46A2">
        <w:rPr>
          <w:rFonts w:ascii="David" w:hAnsi="David" w:cs="David" w:hint="cs"/>
          <w:rtl/>
        </w:rPr>
        <w:t xml:space="preserve">חבר ועד מנהל אצל </w:t>
      </w:r>
      <w:r w:rsidR="0090569A">
        <w:rPr>
          <w:rFonts w:ascii="David" w:hAnsi="David" w:cs="David" w:hint="cs"/>
          <w:rtl/>
        </w:rPr>
        <w:t>העותרת 4, תצהירו של יו"ר העותרת 5, ותצהירו של מנכ"ל העותרת 6</w:t>
      </w:r>
      <w:r w:rsidR="00DA0E2D">
        <w:rPr>
          <w:rFonts w:ascii="David" w:hAnsi="David" w:cs="David" w:hint="cs"/>
          <w:rtl/>
        </w:rPr>
        <w:t xml:space="preserve">, לאימות העובדות הכלולות בעתירה. </w:t>
      </w:r>
    </w:p>
    <w:p w14:paraId="0879B8D0" w14:textId="5BAD0846" w:rsidR="00C43395" w:rsidRDefault="00C43395" w:rsidP="004B29E5">
      <w:pPr>
        <w:numPr>
          <w:ilvl w:val="0"/>
          <w:numId w:val="4"/>
        </w:numPr>
        <w:tabs>
          <w:tab w:val="num" w:pos="540"/>
        </w:tabs>
        <w:spacing w:before="240" w:line="360" w:lineRule="auto"/>
        <w:jc w:val="both"/>
        <w:rPr>
          <w:rFonts w:ascii="David" w:hAnsi="David" w:cs="David"/>
        </w:rPr>
      </w:pPr>
      <w:r w:rsidRPr="004B29E5">
        <w:rPr>
          <w:rFonts w:ascii="David" w:hAnsi="David" w:cs="David"/>
          <w:rtl/>
        </w:rPr>
        <w:t xml:space="preserve">על כן, מתבקש בית המשפט הנכבד להורות </w:t>
      </w:r>
      <w:r w:rsidR="004B29E5" w:rsidRPr="004B29E5">
        <w:rPr>
          <w:rFonts w:ascii="David" w:hAnsi="David" w:cs="David" w:hint="cs"/>
          <w:rtl/>
        </w:rPr>
        <w:t xml:space="preserve">כמבוקש ברישא של עתירה זו. </w:t>
      </w:r>
      <w:r w:rsidRPr="004B29E5">
        <w:rPr>
          <w:rFonts w:ascii="David" w:hAnsi="David" w:cs="David"/>
          <w:rtl/>
        </w:rPr>
        <w:t>כן מתבקש בית המשפט הנכבד להורות למשיב</w:t>
      </w:r>
      <w:r w:rsidR="004B29E5">
        <w:rPr>
          <w:rFonts w:ascii="David" w:hAnsi="David" w:cs="David" w:hint="cs"/>
          <w:rtl/>
        </w:rPr>
        <w:t>ה</w:t>
      </w:r>
      <w:r w:rsidRPr="004B29E5">
        <w:rPr>
          <w:rFonts w:ascii="David" w:hAnsi="David" w:cs="David"/>
          <w:rtl/>
        </w:rPr>
        <w:t xml:space="preserve"> לשלם לעותרות הוצאות משפט ושכר טרחת עורך דין.</w:t>
      </w:r>
    </w:p>
    <w:p w14:paraId="2308ECDC" w14:textId="77777777" w:rsidR="00D4576B" w:rsidRDefault="00D4576B" w:rsidP="00D4576B">
      <w:pPr>
        <w:tabs>
          <w:tab w:val="num" w:pos="540"/>
        </w:tabs>
        <w:jc w:val="both"/>
        <w:rPr>
          <w:rFonts w:ascii="David" w:hAnsi="David" w:cs="David"/>
          <w:rtl/>
        </w:rPr>
      </w:pPr>
    </w:p>
    <w:p w14:paraId="3BF2D171" w14:textId="77777777" w:rsidR="00644778" w:rsidRDefault="00644778" w:rsidP="00160B30">
      <w:pPr>
        <w:tabs>
          <w:tab w:val="num" w:pos="540"/>
        </w:tabs>
        <w:jc w:val="both"/>
        <w:rPr>
          <w:rFonts w:ascii="David" w:hAnsi="David" w:cs="David"/>
          <w:rtl/>
        </w:rPr>
      </w:pPr>
    </w:p>
    <w:p w14:paraId="29E7AC6A" w14:textId="77777777" w:rsidR="00644778" w:rsidRDefault="00644778" w:rsidP="00160B30">
      <w:pPr>
        <w:tabs>
          <w:tab w:val="num" w:pos="540"/>
        </w:tabs>
        <w:jc w:val="both"/>
        <w:rPr>
          <w:rFonts w:ascii="David" w:hAnsi="David" w:cs="David"/>
          <w:rtl/>
        </w:rPr>
      </w:pPr>
    </w:p>
    <w:p w14:paraId="18234C02" w14:textId="5175A92B" w:rsidR="00D4576B" w:rsidRDefault="00D4576B" w:rsidP="00160B30">
      <w:pPr>
        <w:tabs>
          <w:tab w:val="num" w:pos="540"/>
        </w:tabs>
        <w:jc w:val="both"/>
        <w:rPr>
          <w:rFonts w:ascii="David" w:hAnsi="David" w:cs="David"/>
          <w:rtl/>
        </w:rPr>
      </w:pPr>
      <w:r>
        <w:rPr>
          <w:rFonts w:ascii="David" w:hAnsi="David" w:cs="David" w:hint="cs"/>
          <w:rtl/>
        </w:rPr>
        <w:t>היום, י"</w:t>
      </w:r>
      <w:r w:rsidR="00160B30">
        <w:rPr>
          <w:rFonts w:ascii="David" w:hAnsi="David" w:cs="David" w:hint="cs"/>
          <w:rtl/>
        </w:rPr>
        <w:t>ב</w:t>
      </w:r>
      <w:r>
        <w:rPr>
          <w:rFonts w:ascii="David" w:hAnsi="David" w:cs="David" w:hint="cs"/>
          <w:rtl/>
        </w:rPr>
        <w:t xml:space="preserve"> אב תש"פ</w:t>
      </w:r>
    </w:p>
    <w:p w14:paraId="3F75A1C1" w14:textId="13F762DA" w:rsidR="00D4576B" w:rsidRPr="004B29E5" w:rsidRDefault="00160B30" w:rsidP="00D4576B">
      <w:pPr>
        <w:tabs>
          <w:tab w:val="num" w:pos="540"/>
        </w:tabs>
        <w:jc w:val="both"/>
        <w:rPr>
          <w:rFonts w:ascii="David" w:hAnsi="David" w:cs="David"/>
        </w:rPr>
      </w:pPr>
      <w:r>
        <w:rPr>
          <w:rFonts w:ascii="David" w:hAnsi="David" w:cs="David" w:hint="cs"/>
          <w:rtl/>
        </w:rPr>
        <w:t>2</w:t>
      </w:r>
      <w:r w:rsidR="00D4576B">
        <w:rPr>
          <w:rFonts w:ascii="David" w:hAnsi="David" w:cs="David" w:hint="cs"/>
          <w:rtl/>
        </w:rPr>
        <w:t xml:space="preserve"> אוגוסט 2020</w:t>
      </w:r>
    </w:p>
    <w:p w14:paraId="40B3C4D3" w14:textId="0A2951C7" w:rsidR="007622B4" w:rsidRDefault="007622B4" w:rsidP="007622B4">
      <w:pPr>
        <w:jc w:val="both"/>
        <w:rPr>
          <w:rFonts w:ascii="David" w:hAnsi="David" w:cs="David"/>
          <w:rtl/>
        </w:rPr>
      </w:pPr>
    </w:p>
    <w:p w14:paraId="6E3307A2" w14:textId="77777777" w:rsidR="00644778" w:rsidRDefault="00644778" w:rsidP="007622B4">
      <w:pPr>
        <w:jc w:val="both"/>
        <w:rPr>
          <w:rFonts w:ascii="David" w:hAnsi="David" w:cs="David"/>
          <w:rtl/>
        </w:rPr>
      </w:pPr>
    </w:p>
    <w:p w14:paraId="53F51236" w14:textId="2FC06BF4" w:rsidR="00D4576B" w:rsidRDefault="00D4576B" w:rsidP="007622B4">
      <w:pPr>
        <w:jc w:val="both"/>
        <w:rPr>
          <w:rFonts w:ascii="David" w:hAnsi="David" w:cs="David"/>
          <w:rtl/>
        </w:rPr>
      </w:pPr>
    </w:p>
    <w:p w14:paraId="03FA333B" w14:textId="22025F1E" w:rsidR="00D4576B" w:rsidRDefault="00D4576B" w:rsidP="007622B4">
      <w:pPr>
        <w:jc w:val="both"/>
        <w:rPr>
          <w:rFonts w:ascii="David" w:hAnsi="David" w:cs="David"/>
          <w:rtl/>
        </w:rPr>
      </w:pPr>
    </w:p>
    <w:p w14:paraId="5007C93B" w14:textId="77777777" w:rsidR="00D4576B" w:rsidRPr="00D4576B" w:rsidRDefault="00D4576B" w:rsidP="007622B4">
      <w:pPr>
        <w:jc w:val="both"/>
        <w:rPr>
          <w:rFonts w:ascii="David" w:hAnsi="David" w:cs="David"/>
          <w:rtl/>
        </w:rPr>
      </w:pPr>
    </w:p>
    <w:p w14:paraId="5623C19B" w14:textId="77777777" w:rsidR="004B29E5" w:rsidRDefault="004B29E5" w:rsidP="004B29E5">
      <w:pPr>
        <w:jc w:val="both"/>
        <w:rPr>
          <w:rFonts w:ascii="David" w:hAnsi="David" w:cs="David"/>
        </w:rPr>
      </w:pPr>
    </w:p>
    <w:p w14:paraId="34C7441B" w14:textId="77777777" w:rsidR="00C43395" w:rsidRPr="00E43432" w:rsidRDefault="004B29E5" w:rsidP="004B29E5">
      <w:pPr>
        <w:ind w:firstLine="720"/>
        <w:jc w:val="both"/>
        <w:rPr>
          <w:rFonts w:ascii="David" w:hAnsi="David" w:cs="David"/>
        </w:rPr>
      </w:pPr>
      <w:r>
        <w:rPr>
          <w:rFonts w:ascii="David" w:hAnsi="David" w:cs="David" w:hint="cs"/>
          <w:rtl/>
        </w:rPr>
        <w:t>________________</w:t>
      </w:r>
      <w:r w:rsidR="0043554E">
        <w:rPr>
          <w:rFonts w:ascii="David" w:hAnsi="David" w:cs="David" w:hint="cs"/>
          <w:rtl/>
        </w:rPr>
        <w:t xml:space="preserve"> </w:t>
      </w:r>
      <w:r w:rsidR="006C59AF" w:rsidRPr="00E43432">
        <w:rPr>
          <w:rFonts w:ascii="David" w:hAnsi="David" w:cs="David"/>
          <w:rtl/>
        </w:rPr>
        <w:t xml:space="preserve">                                          </w:t>
      </w:r>
      <w:r w:rsidR="00E511D3" w:rsidRPr="00E43432">
        <w:rPr>
          <w:rFonts w:ascii="David" w:hAnsi="David" w:cs="David"/>
          <w:rtl/>
        </w:rPr>
        <w:tab/>
        <w:t xml:space="preserve">       </w:t>
      </w:r>
      <w:r>
        <w:rPr>
          <w:rFonts w:ascii="David" w:hAnsi="David" w:cs="David" w:hint="cs"/>
          <w:rtl/>
        </w:rPr>
        <w:t>__</w:t>
      </w:r>
      <w:r w:rsidR="006C59AF" w:rsidRPr="00E43432">
        <w:rPr>
          <w:rFonts w:ascii="David" w:hAnsi="David" w:cs="David"/>
          <w:rtl/>
        </w:rPr>
        <w:t>_________________</w:t>
      </w:r>
    </w:p>
    <w:p w14:paraId="5B8C8FC1" w14:textId="77777777" w:rsidR="00072A83" w:rsidRPr="00E43432" w:rsidRDefault="004B29E5" w:rsidP="004B29E5">
      <w:pPr>
        <w:jc w:val="both"/>
        <w:rPr>
          <w:rFonts w:ascii="David" w:hAnsi="David" w:cs="David"/>
          <w:rtl/>
        </w:rPr>
      </w:pPr>
      <w:r>
        <w:rPr>
          <w:rFonts w:ascii="David" w:hAnsi="David" w:cs="David" w:hint="cs"/>
          <w:rtl/>
        </w:rPr>
        <w:t xml:space="preserve">                חגי קלעי, עו"ד                                                              אורלי ארז-לחובסקי</w:t>
      </w:r>
      <w:r w:rsidR="006C59AF" w:rsidRPr="00E43432">
        <w:rPr>
          <w:rFonts w:ascii="David" w:hAnsi="David" w:cs="David"/>
          <w:rtl/>
        </w:rPr>
        <w:t>, עו"ד</w:t>
      </w:r>
    </w:p>
    <w:p w14:paraId="3A73D80C" w14:textId="765169B7" w:rsidR="006C59AF" w:rsidRPr="00E43432" w:rsidRDefault="006C59AF" w:rsidP="004B29E5">
      <w:pPr>
        <w:jc w:val="both"/>
        <w:rPr>
          <w:rFonts w:ascii="David" w:hAnsi="David" w:cs="David"/>
          <w:rtl/>
        </w:rPr>
      </w:pPr>
      <w:r w:rsidRPr="00E43432">
        <w:rPr>
          <w:rFonts w:ascii="David" w:hAnsi="David" w:cs="David"/>
          <w:rtl/>
        </w:rPr>
        <w:tab/>
      </w:r>
      <w:r w:rsidR="004B29E5">
        <w:rPr>
          <w:rFonts w:ascii="David" w:hAnsi="David" w:cs="David" w:hint="cs"/>
          <w:rtl/>
        </w:rPr>
        <w:t xml:space="preserve">    </w:t>
      </w:r>
      <w:r w:rsidRPr="00E43432">
        <w:rPr>
          <w:rFonts w:ascii="David" w:hAnsi="David" w:cs="David"/>
          <w:rtl/>
        </w:rPr>
        <w:t>מ.ר.</w:t>
      </w:r>
      <w:r w:rsidR="0002655F">
        <w:rPr>
          <w:rFonts w:ascii="David" w:hAnsi="David" w:cs="David" w:hint="cs"/>
          <w:rtl/>
        </w:rPr>
        <w:t xml:space="preserve"> 63335</w:t>
      </w:r>
      <w:r w:rsidR="004B29E5">
        <w:rPr>
          <w:rFonts w:ascii="David" w:hAnsi="David" w:cs="David"/>
          <w:rtl/>
        </w:rPr>
        <w:tab/>
      </w:r>
      <w:r w:rsidR="004B29E5">
        <w:rPr>
          <w:rFonts w:ascii="David" w:hAnsi="David" w:cs="David"/>
          <w:rtl/>
        </w:rPr>
        <w:tab/>
      </w:r>
      <w:r w:rsidR="004B29E5">
        <w:rPr>
          <w:rFonts w:ascii="David" w:hAnsi="David" w:cs="David"/>
          <w:rtl/>
        </w:rPr>
        <w:tab/>
      </w:r>
      <w:r w:rsidR="004B29E5">
        <w:rPr>
          <w:rFonts w:ascii="David" w:hAnsi="David" w:cs="David"/>
          <w:rtl/>
        </w:rPr>
        <w:tab/>
      </w:r>
      <w:r w:rsidR="004B29E5">
        <w:rPr>
          <w:rFonts w:ascii="David" w:hAnsi="David" w:cs="David"/>
          <w:rtl/>
        </w:rPr>
        <w:tab/>
      </w:r>
      <w:r w:rsidR="00672439">
        <w:rPr>
          <w:rFonts w:ascii="David" w:hAnsi="David" w:cs="David" w:hint="cs"/>
          <w:rtl/>
        </w:rPr>
        <w:t xml:space="preserve">    </w:t>
      </w:r>
      <w:r w:rsidR="00D4576B">
        <w:rPr>
          <w:rFonts w:ascii="David" w:hAnsi="David" w:cs="David" w:hint="cs"/>
          <w:rtl/>
        </w:rPr>
        <w:t xml:space="preserve">           </w:t>
      </w:r>
      <w:r w:rsidR="004B29E5">
        <w:rPr>
          <w:rFonts w:ascii="David" w:hAnsi="David" w:cs="David" w:hint="cs"/>
          <w:rtl/>
        </w:rPr>
        <w:t>מ.ר. 20263</w:t>
      </w:r>
    </w:p>
    <w:p w14:paraId="093424A5" w14:textId="169D939A" w:rsidR="006C59AF" w:rsidRPr="00E43432" w:rsidRDefault="004B29E5" w:rsidP="00D4576B">
      <w:pPr>
        <w:jc w:val="both"/>
        <w:rPr>
          <w:rFonts w:ascii="David" w:hAnsi="David" w:cs="David"/>
        </w:rPr>
      </w:pPr>
      <w:r>
        <w:rPr>
          <w:rFonts w:ascii="David" w:hAnsi="David" w:cs="David"/>
          <w:rtl/>
        </w:rPr>
        <w:t xml:space="preserve">                </w:t>
      </w:r>
      <w:r w:rsidR="006C59AF" w:rsidRPr="00E43432">
        <w:rPr>
          <w:rFonts w:ascii="David" w:hAnsi="David" w:cs="David"/>
          <w:rtl/>
        </w:rPr>
        <w:t>ב"כ העותרות</w:t>
      </w:r>
      <w:r w:rsidR="00672439">
        <w:rPr>
          <w:rFonts w:ascii="David" w:hAnsi="David" w:cs="David" w:hint="cs"/>
          <w:rtl/>
        </w:rPr>
        <w:t xml:space="preserve">                                                                      </w:t>
      </w:r>
      <w:r w:rsidR="00672439" w:rsidRPr="00E43432">
        <w:rPr>
          <w:rFonts w:ascii="David" w:hAnsi="David" w:cs="David"/>
          <w:rtl/>
        </w:rPr>
        <w:t>ב"כ העותרות</w:t>
      </w:r>
    </w:p>
    <w:sectPr w:rsidR="006C59AF" w:rsidRPr="00E43432" w:rsidSect="00083F0E">
      <w:footerReference w:type="default" r:id="rId27"/>
      <w:pgSz w:w="11906" w:h="16838"/>
      <w:pgMar w:top="1440" w:right="1800" w:bottom="1440" w:left="1800" w:header="708" w:footer="708" w:gutter="0"/>
      <w:cols w:space="708"/>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2B268B" w16cid:durableId="22CD4AF6"/>
  <w16cid:commentId w16cid:paraId="037265B6" w16cid:durableId="22CD4AF7"/>
  <w16cid:commentId w16cid:paraId="56B4A7F8" w16cid:durableId="22CD4AF8"/>
  <w16cid:commentId w16cid:paraId="6B9CBF6A" w16cid:durableId="22CD4A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3C456" w14:textId="77777777" w:rsidR="00D852E7" w:rsidRDefault="00D852E7" w:rsidP="00F03BD7">
      <w:r>
        <w:separator/>
      </w:r>
    </w:p>
  </w:endnote>
  <w:endnote w:type="continuationSeparator" w:id="0">
    <w:p w14:paraId="6F1A186B" w14:textId="77777777" w:rsidR="00D852E7" w:rsidRDefault="00D852E7" w:rsidP="00F0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1780629"/>
      <w:docPartObj>
        <w:docPartGallery w:val="Page Numbers (Bottom of Page)"/>
        <w:docPartUnique/>
      </w:docPartObj>
    </w:sdtPr>
    <w:sdtEndPr>
      <w:rPr>
        <w:cs/>
      </w:rPr>
    </w:sdtEndPr>
    <w:sdtContent>
      <w:p w14:paraId="17DA9DE4" w14:textId="1AAFF672" w:rsidR="001E585F" w:rsidRDefault="001E585F">
        <w:pPr>
          <w:pStyle w:val="af8"/>
          <w:jc w:val="center"/>
          <w:rPr>
            <w:rtl/>
            <w:cs/>
          </w:rPr>
        </w:pPr>
        <w:r>
          <w:fldChar w:fldCharType="begin"/>
        </w:r>
        <w:r>
          <w:rPr>
            <w:rtl/>
            <w:cs/>
          </w:rPr>
          <w:instrText>PAGE   \* MERGEFORMAT</w:instrText>
        </w:r>
        <w:r>
          <w:fldChar w:fldCharType="separate"/>
        </w:r>
        <w:r w:rsidR="00D972F1" w:rsidRPr="00D972F1">
          <w:rPr>
            <w:noProof/>
            <w:rtl/>
            <w:lang w:val="he-IL"/>
          </w:rPr>
          <w:t>28</w:t>
        </w:r>
        <w:r>
          <w:fldChar w:fldCharType="end"/>
        </w:r>
      </w:p>
    </w:sdtContent>
  </w:sdt>
  <w:p w14:paraId="38E7F65D" w14:textId="77777777" w:rsidR="001E585F" w:rsidRDefault="001E585F">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D3072" w14:textId="77777777" w:rsidR="00D852E7" w:rsidRDefault="00D852E7" w:rsidP="00F03BD7">
      <w:r>
        <w:separator/>
      </w:r>
    </w:p>
  </w:footnote>
  <w:footnote w:type="continuationSeparator" w:id="0">
    <w:p w14:paraId="031A4F72" w14:textId="77777777" w:rsidR="00D852E7" w:rsidRDefault="00D852E7" w:rsidP="00F03BD7">
      <w:r>
        <w:continuationSeparator/>
      </w:r>
    </w:p>
  </w:footnote>
  <w:footnote w:id="1">
    <w:p w14:paraId="039EA8E2" w14:textId="77777777" w:rsidR="001E585F" w:rsidRDefault="001E585F">
      <w:pPr>
        <w:pStyle w:val="af3"/>
      </w:pPr>
      <w:r>
        <w:rPr>
          <w:rStyle w:val="af5"/>
        </w:rPr>
        <w:footnoteRef/>
      </w:r>
      <w:r>
        <w:rPr>
          <w:rtl/>
        </w:rPr>
        <w:t xml:space="preserve"> </w:t>
      </w:r>
      <w:hyperlink r:id="rId1" w:history="1">
        <w:r>
          <w:rPr>
            <w:rStyle w:val="Hyperlink"/>
          </w:rPr>
          <w:t>https://www.kolhair.co.il/jerusalem-news/134865/</w:t>
        </w:r>
      </w:hyperlink>
    </w:p>
  </w:footnote>
  <w:footnote w:id="2">
    <w:p w14:paraId="78C1A08B" w14:textId="77777777" w:rsidR="001E585F" w:rsidRDefault="001E585F" w:rsidP="00E133C3">
      <w:pPr>
        <w:pStyle w:val="af3"/>
      </w:pPr>
      <w:r>
        <w:rPr>
          <w:rStyle w:val="af5"/>
        </w:rPr>
        <w:footnoteRef/>
      </w:r>
      <w:r>
        <w:rPr>
          <w:rtl/>
        </w:rPr>
        <w:t xml:space="preserve"> </w:t>
      </w:r>
      <w:hyperlink r:id="rId2" w:history="1">
        <w:r>
          <w:rPr>
            <w:rStyle w:val="Hyperlink"/>
          </w:rPr>
          <w:t>https://wedding-jerusalem.forms-wizard.biz/</w:t>
        </w:r>
      </w:hyperlink>
    </w:p>
  </w:footnote>
  <w:footnote w:id="3">
    <w:p w14:paraId="3738E869" w14:textId="77777777" w:rsidR="001E585F" w:rsidRDefault="001E585F">
      <w:pPr>
        <w:pStyle w:val="af3"/>
      </w:pPr>
      <w:r>
        <w:rPr>
          <w:rStyle w:val="af5"/>
        </w:rPr>
        <w:footnoteRef/>
      </w:r>
      <w:r>
        <w:rPr>
          <w:rtl/>
        </w:rPr>
        <w:t xml:space="preserve"> </w:t>
      </w:r>
      <w:hyperlink r:id="rId3" w:history="1">
        <w:r>
          <w:rPr>
            <w:rStyle w:val="Hyperlink"/>
          </w:rPr>
          <w:t>https://twitter.com/segev_yuval/status/1285536834039296000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E1D"/>
    <w:multiLevelType w:val="hybridMultilevel"/>
    <w:tmpl w:val="C8001FDA"/>
    <w:lvl w:ilvl="0" w:tplc="2FCAE4FE">
      <w:start w:val="1"/>
      <w:numFmt w:val="decimal"/>
      <w:lvlText w:val="%1."/>
      <w:lvlJc w:val="left"/>
      <w:pPr>
        <w:ind w:left="360" w:hanging="360"/>
      </w:pPr>
      <w:rPr>
        <w:rFonts w:hint="default"/>
        <w:lang w:val="en-US" w:bidi="he-IL"/>
      </w:rPr>
    </w:lvl>
    <w:lvl w:ilvl="1" w:tplc="F036FB64">
      <w:start w:val="1"/>
      <w:numFmt w:val="hebrew1"/>
      <w:lvlText w:val="%2."/>
      <w:lvlJc w:val="center"/>
      <w:pPr>
        <w:ind w:left="1080" w:hanging="360"/>
      </w:pPr>
      <w:rPr>
        <w:lang w:val="en-US"/>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24499C"/>
    <w:multiLevelType w:val="hybridMultilevel"/>
    <w:tmpl w:val="8C702E12"/>
    <w:lvl w:ilvl="0" w:tplc="F4308E34">
      <w:start w:val="1"/>
      <w:numFmt w:val="decimal"/>
      <w:lvlText w:val="%1."/>
      <w:lvlJc w:val="left"/>
      <w:pPr>
        <w:ind w:left="643" w:hanging="360"/>
      </w:pPr>
      <w:rPr>
        <w:rFonts w:hint="default"/>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 w15:restartNumberingAfterBreak="0">
    <w:nsid w:val="05E2595B"/>
    <w:multiLevelType w:val="multilevel"/>
    <w:tmpl w:val="6EC0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90AC7"/>
    <w:multiLevelType w:val="multilevel"/>
    <w:tmpl w:val="D47067A2"/>
    <w:lvl w:ilvl="0">
      <w:start w:val="1"/>
      <w:numFmt w:val="hebrew1"/>
      <w:lvlText w:val="%1."/>
      <w:lvlJc w:val="center"/>
      <w:pPr>
        <w:ind w:left="360" w:hanging="360"/>
      </w:pPr>
      <w:rPr>
        <w:rFonts w:hint="default"/>
      </w:rPr>
    </w:lvl>
    <w:lvl w:ilvl="1">
      <w:start w:val="1"/>
      <w:numFmt w:val="hebrew1"/>
      <w:lvlText w:val="%2."/>
      <w:lvlJc w:val="center"/>
      <w:pPr>
        <w:ind w:left="720" w:hanging="360"/>
      </w:pPr>
      <w:rPr>
        <w:rFonts w:ascii="David" w:eastAsia="Times New Roman" w:hAnsi="David" w:cs="David"/>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4" w15:restartNumberingAfterBreak="0">
    <w:nsid w:val="10B06106"/>
    <w:multiLevelType w:val="hybridMultilevel"/>
    <w:tmpl w:val="A574E80A"/>
    <w:lvl w:ilvl="0" w:tplc="8752C23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 w15:restartNumberingAfterBreak="0">
    <w:nsid w:val="132764B7"/>
    <w:multiLevelType w:val="hybridMultilevel"/>
    <w:tmpl w:val="27321FC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15:restartNumberingAfterBreak="0">
    <w:nsid w:val="194B0110"/>
    <w:multiLevelType w:val="hybridMultilevel"/>
    <w:tmpl w:val="BFD872F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15:restartNumberingAfterBreak="0">
    <w:nsid w:val="1B51396B"/>
    <w:multiLevelType w:val="multilevel"/>
    <w:tmpl w:val="97423B9E"/>
    <w:lvl w:ilvl="0">
      <w:start w:val="1"/>
      <w:numFmt w:val="decimal"/>
      <w:lvlText w:val="%1."/>
      <w:lvlJc w:val="left"/>
      <w:pPr>
        <w:ind w:left="360" w:hanging="360"/>
      </w:pPr>
      <w:rPr>
        <w:rFonts w:ascii="David" w:hAnsi="David" w:cs="David" w:hint="default"/>
        <w:b w:val="0"/>
        <w:bCs w:val="0"/>
        <w:sz w:val="24"/>
        <w:szCs w:val="24"/>
        <w:lang w:val="en-US" w:bidi="he-IL"/>
      </w:rPr>
    </w:lvl>
    <w:lvl w:ilvl="1">
      <w:start w:val="1"/>
      <w:numFmt w:val="decimal"/>
      <w:lvlText w:val="%1.%2."/>
      <w:lvlJc w:val="left"/>
      <w:pPr>
        <w:ind w:left="-2326" w:hanging="432"/>
      </w:pPr>
    </w:lvl>
    <w:lvl w:ilvl="2">
      <w:start w:val="1"/>
      <w:numFmt w:val="decimal"/>
      <w:lvlText w:val="%1.%2.%3."/>
      <w:lvlJc w:val="left"/>
      <w:pPr>
        <w:ind w:left="-1894" w:hanging="504"/>
      </w:pPr>
    </w:lvl>
    <w:lvl w:ilvl="3">
      <w:start w:val="1"/>
      <w:numFmt w:val="decimal"/>
      <w:lvlText w:val="%1.%2.%3.%4."/>
      <w:lvlJc w:val="left"/>
      <w:pPr>
        <w:ind w:left="-1390" w:hanging="648"/>
      </w:pPr>
    </w:lvl>
    <w:lvl w:ilvl="4">
      <w:start w:val="1"/>
      <w:numFmt w:val="decimal"/>
      <w:lvlText w:val="%1.%2.%3.%4.%5."/>
      <w:lvlJc w:val="left"/>
      <w:pPr>
        <w:ind w:left="-886" w:hanging="792"/>
      </w:pPr>
    </w:lvl>
    <w:lvl w:ilvl="5">
      <w:start w:val="1"/>
      <w:numFmt w:val="decimal"/>
      <w:lvlText w:val="%1.%2.%3.%4.%5.%6."/>
      <w:lvlJc w:val="left"/>
      <w:pPr>
        <w:ind w:left="-382" w:hanging="936"/>
      </w:pPr>
    </w:lvl>
    <w:lvl w:ilvl="6">
      <w:start w:val="1"/>
      <w:numFmt w:val="decimal"/>
      <w:lvlText w:val="%1.%2.%3.%4.%5.%6.%7."/>
      <w:lvlJc w:val="left"/>
      <w:pPr>
        <w:ind w:left="122" w:hanging="1080"/>
      </w:pPr>
    </w:lvl>
    <w:lvl w:ilvl="7">
      <w:start w:val="1"/>
      <w:numFmt w:val="decimal"/>
      <w:lvlText w:val="%1.%2.%3.%4.%5.%6.%7.%8."/>
      <w:lvlJc w:val="left"/>
      <w:pPr>
        <w:ind w:left="626" w:hanging="1224"/>
      </w:pPr>
    </w:lvl>
    <w:lvl w:ilvl="8">
      <w:start w:val="1"/>
      <w:numFmt w:val="decimal"/>
      <w:lvlText w:val="%1.%2.%3.%4.%5.%6.%7.%8.%9."/>
      <w:lvlJc w:val="left"/>
      <w:pPr>
        <w:ind w:left="1202" w:hanging="1440"/>
      </w:pPr>
    </w:lvl>
  </w:abstractNum>
  <w:abstractNum w:abstractNumId="8" w15:restartNumberingAfterBreak="0">
    <w:nsid w:val="1CD4257B"/>
    <w:multiLevelType w:val="hybridMultilevel"/>
    <w:tmpl w:val="40AA4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3671D"/>
    <w:multiLevelType w:val="multilevel"/>
    <w:tmpl w:val="6C78B176"/>
    <w:lvl w:ilvl="0">
      <w:start w:val="1"/>
      <w:numFmt w:val="decimal"/>
      <w:lvlText w:val="%1."/>
      <w:lvlJc w:val="right"/>
      <w:pPr>
        <w:tabs>
          <w:tab w:val="num" w:pos="720"/>
        </w:tabs>
        <w:ind w:left="720" w:hanging="360"/>
      </w:pPr>
      <w:rPr>
        <w:rFonts w:ascii="Times New Roman" w:hAnsi="Times New Roman" w:cs="Times New Roman" w:hint="default"/>
      </w:rPr>
    </w:lvl>
    <w:lvl w:ilvl="1">
      <w:start w:val="1"/>
      <w:numFmt w:val="irohaFullWidth"/>
      <w:lvlText w:val=""/>
      <w:lvlJc w:val="right"/>
      <w:pPr>
        <w:tabs>
          <w:tab w:val="num" w:pos="1440"/>
        </w:tabs>
        <w:ind w:left="1440" w:hanging="360"/>
      </w:pPr>
      <w:rPr>
        <w:rFonts w:ascii="Symbol" w:hAnsi="Symbol" w:cs="David" w:hint="cs"/>
      </w:rPr>
    </w:lvl>
    <w:lvl w:ilvl="2">
      <w:start w:val="1"/>
      <w:numFmt w:val="hebrew2"/>
      <w:lvlText w:val="%3."/>
      <w:lvlJc w:val="left"/>
      <w:pPr>
        <w:tabs>
          <w:tab w:val="num" w:pos="2160"/>
        </w:tabs>
        <w:ind w:left="2160" w:hanging="180"/>
      </w:pPr>
      <w:rPr>
        <w:rFonts w:ascii="Times New Roman" w:hAnsi="Times New Roman" w:cs="David"/>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David"/>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David"/>
        <w:sz w:val="24"/>
        <w:szCs w:val="24"/>
      </w:rPr>
    </w:lvl>
  </w:abstractNum>
  <w:abstractNum w:abstractNumId="10" w15:restartNumberingAfterBreak="0">
    <w:nsid w:val="218F3649"/>
    <w:multiLevelType w:val="hybridMultilevel"/>
    <w:tmpl w:val="ADB8F244"/>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 w15:restartNumberingAfterBreak="0">
    <w:nsid w:val="278F53DE"/>
    <w:multiLevelType w:val="hybridMultilevel"/>
    <w:tmpl w:val="6600682A"/>
    <w:lvl w:ilvl="0" w:tplc="6F22D3F8">
      <w:start w:val="1"/>
      <w:numFmt w:val="decimal"/>
      <w:lvlText w:val="%1."/>
      <w:lvlJc w:val="left"/>
      <w:pPr>
        <w:tabs>
          <w:tab w:val="num" w:pos="388"/>
        </w:tabs>
        <w:ind w:left="388" w:right="388" w:hanging="360"/>
      </w:pPr>
      <w:rPr>
        <w:rFonts w:hint="cs"/>
      </w:rPr>
    </w:lvl>
    <w:lvl w:ilvl="1" w:tplc="9D7C2C72">
      <w:start w:val="1"/>
      <w:numFmt w:val="hebrew1"/>
      <w:lvlText w:val="%2."/>
      <w:lvlJc w:val="left"/>
      <w:pPr>
        <w:tabs>
          <w:tab w:val="num" w:pos="1288"/>
        </w:tabs>
        <w:ind w:left="1288" w:right="1288" w:hanging="540"/>
      </w:pPr>
      <w:rPr>
        <w:rFonts w:hint="cs"/>
      </w:rPr>
    </w:lvl>
    <w:lvl w:ilvl="2" w:tplc="040D001B" w:tentative="1">
      <w:start w:val="1"/>
      <w:numFmt w:val="lowerRoman"/>
      <w:lvlText w:val="%3."/>
      <w:lvlJc w:val="right"/>
      <w:pPr>
        <w:tabs>
          <w:tab w:val="num" w:pos="1828"/>
        </w:tabs>
        <w:ind w:left="1828" w:right="1828" w:hanging="180"/>
      </w:pPr>
    </w:lvl>
    <w:lvl w:ilvl="3" w:tplc="040D000F" w:tentative="1">
      <w:start w:val="1"/>
      <w:numFmt w:val="decimal"/>
      <w:lvlText w:val="%4."/>
      <w:lvlJc w:val="left"/>
      <w:pPr>
        <w:tabs>
          <w:tab w:val="num" w:pos="2548"/>
        </w:tabs>
        <w:ind w:left="2548" w:right="2548" w:hanging="360"/>
      </w:pPr>
    </w:lvl>
    <w:lvl w:ilvl="4" w:tplc="040D0019" w:tentative="1">
      <w:start w:val="1"/>
      <w:numFmt w:val="lowerLetter"/>
      <w:lvlText w:val="%5."/>
      <w:lvlJc w:val="left"/>
      <w:pPr>
        <w:tabs>
          <w:tab w:val="num" w:pos="3268"/>
        </w:tabs>
        <w:ind w:left="3268" w:right="3268" w:hanging="360"/>
      </w:pPr>
    </w:lvl>
    <w:lvl w:ilvl="5" w:tplc="040D001B" w:tentative="1">
      <w:start w:val="1"/>
      <w:numFmt w:val="lowerRoman"/>
      <w:lvlText w:val="%6."/>
      <w:lvlJc w:val="right"/>
      <w:pPr>
        <w:tabs>
          <w:tab w:val="num" w:pos="3988"/>
        </w:tabs>
        <w:ind w:left="3988" w:right="3988" w:hanging="180"/>
      </w:pPr>
    </w:lvl>
    <w:lvl w:ilvl="6" w:tplc="040D000F" w:tentative="1">
      <w:start w:val="1"/>
      <w:numFmt w:val="decimal"/>
      <w:lvlText w:val="%7."/>
      <w:lvlJc w:val="left"/>
      <w:pPr>
        <w:tabs>
          <w:tab w:val="num" w:pos="4708"/>
        </w:tabs>
        <w:ind w:left="4708" w:right="4708" w:hanging="360"/>
      </w:pPr>
    </w:lvl>
    <w:lvl w:ilvl="7" w:tplc="040D0019" w:tentative="1">
      <w:start w:val="1"/>
      <w:numFmt w:val="lowerLetter"/>
      <w:lvlText w:val="%8."/>
      <w:lvlJc w:val="left"/>
      <w:pPr>
        <w:tabs>
          <w:tab w:val="num" w:pos="5428"/>
        </w:tabs>
        <w:ind w:left="5428" w:right="5428" w:hanging="360"/>
      </w:pPr>
    </w:lvl>
    <w:lvl w:ilvl="8" w:tplc="040D001B" w:tentative="1">
      <w:start w:val="1"/>
      <w:numFmt w:val="lowerRoman"/>
      <w:lvlText w:val="%9."/>
      <w:lvlJc w:val="right"/>
      <w:pPr>
        <w:tabs>
          <w:tab w:val="num" w:pos="6148"/>
        </w:tabs>
        <w:ind w:left="6148" w:right="6148" w:hanging="180"/>
      </w:pPr>
    </w:lvl>
  </w:abstractNum>
  <w:abstractNum w:abstractNumId="12" w15:restartNumberingAfterBreak="0">
    <w:nsid w:val="2ADA1848"/>
    <w:multiLevelType w:val="hybridMultilevel"/>
    <w:tmpl w:val="750CC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8F5800"/>
    <w:multiLevelType w:val="multilevel"/>
    <w:tmpl w:val="9D2C3E26"/>
    <w:lvl w:ilvl="0">
      <w:start w:val="1"/>
      <w:numFmt w:val="none"/>
      <w:lvlText w:val="ד."/>
      <w:lvlJc w:val="center"/>
      <w:pPr>
        <w:ind w:left="360" w:hanging="360"/>
      </w:pPr>
      <w:rPr>
        <w:rFonts w:cs="Times New Roman" w:hint="default"/>
      </w:rPr>
    </w:lvl>
    <w:lvl w:ilvl="1">
      <w:start w:val="1"/>
      <w:numFmt w:val="none"/>
      <w:lvlText w:val="ד.1."/>
      <w:lvlJc w:val="center"/>
      <w:pPr>
        <w:ind w:left="720" w:hanging="360"/>
      </w:pPr>
      <w:rPr>
        <w:rFonts w:cs="Times New Roman" w:hint="default"/>
      </w:rPr>
    </w:lvl>
    <w:lvl w:ilvl="2">
      <w:start w:val="1"/>
      <w:numFmt w:val="hebrew1"/>
      <w:lvlText w:val="ד.8.%3"/>
      <w:lvlJc w:val="center"/>
      <w:pPr>
        <w:ind w:left="1080" w:hanging="360"/>
      </w:pPr>
      <w:rPr>
        <w:rFonts w:cs="David" w:hint="cs"/>
        <w:bCs/>
        <w:iCs w:val="0"/>
        <w:sz w:val="2"/>
        <w:szCs w:val="24"/>
      </w:rPr>
    </w:lvl>
    <w:lvl w:ilvl="3">
      <w:start w:val="1"/>
      <w:numFmt w:val="decimal"/>
      <w:lvlText w:val="ד.6.ב.%4"/>
      <w:lvlJc w:val="center"/>
      <w:pPr>
        <w:ind w:left="1440" w:hanging="360"/>
      </w:pPr>
      <w:rPr>
        <w:rFonts w:cs="David" w:hint="cs"/>
        <w:bCs/>
        <w:iCs w:val="0"/>
        <w:sz w:val="24"/>
        <w:szCs w:val="24"/>
      </w:rPr>
    </w:lvl>
    <w:lvl w:ilvl="4">
      <w:start w:val="1"/>
      <w:numFmt w:val="hebrew1"/>
      <w:lvlText w:val="%1.%2.%3.%4.%5."/>
      <w:lvlJc w:val="center"/>
      <w:pPr>
        <w:ind w:left="1800" w:hanging="360"/>
      </w:pPr>
      <w:rPr>
        <w:rFonts w:cs="Times New Roman" w:hint="default"/>
      </w:rPr>
    </w:lvl>
    <w:lvl w:ilvl="5">
      <w:start w:val="1"/>
      <w:numFmt w:val="decimal"/>
      <w:lvlText w:val="%1.%2.%3.%4.%5.%6."/>
      <w:lvlJc w:val="center"/>
      <w:pPr>
        <w:ind w:left="2160" w:hanging="360"/>
      </w:pPr>
      <w:rPr>
        <w:rFonts w:cs="Times New Roman" w:hint="default"/>
      </w:rPr>
    </w:lvl>
    <w:lvl w:ilvl="6">
      <w:start w:val="1"/>
      <w:numFmt w:val="hebrew1"/>
      <w:lvlText w:val="%1.%2.%3.%4.%5.%6.%7."/>
      <w:lvlJc w:val="center"/>
      <w:pPr>
        <w:ind w:left="2520" w:hanging="360"/>
      </w:pPr>
      <w:rPr>
        <w:rFonts w:cs="Times New Roman" w:hint="default"/>
      </w:rPr>
    </w:lvl>
    <w:lvl w:ilvl="7">
      <w:start w:val="1"/>
      <w:numFmt w:val="decimal"/>
      <w:lvlText w:val="%1.%2.%3.%4.%5.%6.%7.%8."/>
      <w:lvlJc w:val="center"/>
      <w:pPr>
        <w:ind w:left="2880" w:hanging="360"/>
      </w:pPr>
      <w:rPr>
        <w:rFonts w:cs="Times New Roman" w:hint="default"/>
      </w:rPr>
    </w:lvl>
    <w:lvl w:ilvl="8">
      <w:start w:val="1"/>
      <w:numFmt w:val="hebrew1"/>
      <w:lvlText w:val="%1.%2.%3.%4.%5.%6.%7.%8.%9."/>
      <w:lvlJc w:val="center"/>
      <w:pPr>
        <w:ind w:left="3240" w:hanging="360"/>
      </w:pPr>
      <w:rPr>
        <w:rFonts w:cs="Times New Roman" w:hint="default"/>
      </w:rPr>
    </w:lvl>
  </w:abstractNum>
  <w:abstractNum w:abstractNumId="14" w15:restartNumberingAfterBreak="0">
    <w:nsid w:val="2FC70ED3"/>
    <w:multiLevelType w:val="hybridMultilevel"/>
    <w:tmpl w:val="5052CBC4"/>
    <w:lvl w:ilvl="0" w:tplc="0409000F">
      <w:start w:val="1"/>
      <w:numFmt w:val="decimal"/>
      <w:lvlText w:val="%1."/>
      <w:lvlJc w:val="left"/>
      <w:pPr>
        <w:tabs>
          <w:tab w:val="num" w:pos="360"/>
        </w:tabs>
        <w:ind w:left="360" w:hanging="360"/>
      </w:pPr>
      <w:rPr>
        <w:b w:val="0"/>
        <w:bCs w:val="0"/>
        <w:color w:val="auto"/>
        <w:sz w:val="24"/>
        <w:szCs w:val="24"/>
        <w:lang w:bidi="he-IL"/>
      </w:rPr>
    </w:lvl>
    <w:lvl w:ilvl="1" w:tplc="B3C03E08">
      <w:start w:val="1"/>
      <w:numFmt w:val="decimal"/>
      <w:lvlText w:val="%2."/>
      <w:lvlJc w:val="left"/>
      <w:pPr>
        <w:tabs>
          <w:tab w:val="num" w:pos="720"/>
        </w:tabs>
        <w:ind w:left="720" w:hanging="360"/>
      </w:pPr>
      <w:rPr>
        <w:b w:val="0"/>
        <w:b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6BB6635"/>
    <w:multiLevelType w:val="hybridMultilevel"/>
    <w:tmpl w:val="85268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91BFF"/>
    <w:multiLevelType w:val="multilevel"/>
    <w:tmpl w:val="D286D498"/>
    <w:lvl w:ilvl="0">
      <w:start w:val="1"/>
      <w:numFmt w:val="decimal"/>
      <w:lvlText w:val="%1."/>
      <w:lvlJc w:val="left"/>
      <w:pPr>
        <w:tabs>
          <w:tab w:val="num" w:pos="803"/>
        </w:tabs>
        <w:ind w:left="803" w:hanging="360"/>
      </w:pPr>
      <w:rPr>
        <w:rFonts w:cs="David" w:hint="default"/>
        <w:b w:val="0"/>
        <w:bCs w:val="0"/>
        <w:color w:val="auto"/>
        <w:sz w:val="24"/>
        <w:szCs w:val="24"/>
        <w:lang w:val="en-US" w:bidi="he-IL"/>
      </w:rPr>
    </w:lvl>
    <w:lvl w:ilvl="1">
      <w:start w:val="1"/>
      <w:numFmt w:val="hebrew1"/>
      <w:lvlText w:val="%2."/>
      <w:lvlJc w:val="center"/>
      <w:pPr>
        <w:tabs>
          <w:tab w:val="num" w:pos="1163"/>
        </w:tabs>
        <w:ind w:left="1163" w:hanging="360"/>
      </w:pPr>
      <w:rPr>
        <w:rFonts w:hint="default"/>
        <w:b w:val="0"/>
        <w:bCs w:val="0"/>
        <w:sz w:val="24"/>
        <w:szCs w:val="24"/>
        <w:lang w:val="en-US"/>
      </w:rPr>
    </w:lvl>
    <w:lvl w:ilvl="2">
      <w:start w:val="1"/>
      <w:numFmt w:val="decimal"/>
      <w:lvlText w:val="%1.%2.%3."/>
      <w:lvlJc w:val="left"/>
      <w:pPr>
        <w:tabs>
          <w:tab w:val="num" w:pos="1667"/>
        </w:tabs>
        <w:ind w:left="1667" w:hanging="504"/>
      </w:pPr>
    </w:lvl>
    <w:lvl w:ilvl="3">
      <w:start w:val="1"/>
      <w:numFmt w:val="decimal"/>
      <w:lvlText w:val="%1.%2.%3.%4."/>
      <w:lvlJc w:val="left"/>
      <w:pPr>
        <w:tabs>
          <w:tab w:val="num" w:pos="2171"/>
        </w:tabs>
        <w:ind w:left="2171" w:hanging="648"/>
      </w:pPr>
    </w:lvl>
    <w:lvl w:ilvl="4">
      <w:start w:val="1"/>
      <w:numFmt w:val="decimal"/>
      <w:lvlText w:val="%1.%2.%3.%4.%5."/>
      <w:lvlJc w:val="left"/>
      <w:pPr>
        <w:tabs>
          <w:tab w:val="num" w:pos="2675"/>
        </w:tabs>
        <w:ind w:left="2675" w:hanging="792"/>
      </w:pPr>
    </w:lvl>
    <w:lvl w:ilvl="5">
      <w:start w:val="1"/>
      <w:numFmt w:val="decimal"/>
      <w:lvlText w:val="%1.%2.%3.%4.%5.%6."/>
      <w:lvlJc w:val="left"/>
      <w:pPr>
        <w:tabs>
          <w:tab w:val="num" w:pos="3179"/>
        </w:tabs>
        <w:ind w:left="3179" w:hanging="936"/>
      </w:pPr>
    </w:lvl>
    <w:lvl w:ilvl="6">
      <w:start w:val="1"/>
      <w:numFmt w:val="decimal"/>
      <w:lvlText w:val="%1.%2.%3.%4.%5.%6.%7."/>
      <w:lvlJc w:val="left"/>
      <w:pPr>
        <w:tabs>
          <w:tab w:val="num" w:pos="3683"/>
        </w:tabs>
        <w:ind w:left="3683" w:hanging="1080"/>
      </w:pPr>
    </w:lvl>
    <w:lvl w:ilvl="7">
      <w:start w:val="1"/>
      <w:numFmt w:val="decimal"/>
      <w:lvlText w:val="%1.%2.%3.%4.%5.%6.%7.%8."/>
      <w:lvlJc w:val="left"/>
      <w:pPr>
        <w:tabs>
          <w:tab w:val="num" w:pos="4187"/>
        </w:tabs>
        <w:ind w:left="4187" w:hanging="1224"/>
      </w:pPr>
    </w:lvl>
    <w:lvl w:ilvl="8">
      <w:start w:val="1"/>
      <w:numFmt w:val="decimal"/>
      <w:lvlText w:val="%1.%2.%3.%4.%5.%6.%7.%8.%9."/>
      <w:lvlJc w:val="left"/>
      <w:pPr>
        <w:tabs>
          <w:tab w:val="num" w:pos="4763"/>
        </w:tabs>
        <w:ind w:left="4763" w:hanging="1440"/>
      </w:pPr>
    </w:lvl>
  </w:abstractNum>
  <w:abstractNum w:abstractNumId="17" w15:restartNumberingAfterBreak="0">
    <w:nsid w:val="40FD77D8"/>
    <w:multiLevelType w:val="hybridMultilevel"/>
    <w:tmpl w:val="F868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55938"/>
    <w:multiLevelType w:val="multilevel"/>
    <w:tmpl w:val="265E5BE6"/>
    <w:lvl w:ilvl="0">
      <w:start w:val="1"/>
      <w:numFmt w:val="hebrew1"/>
      <w:lvlText w:val="%1."/>
      <w:lvlJc w:val="center"/>
      <w:pPr>
        <w:ind w:left="360" w:hanging="360"/>
      </w:pPr>
    </w:lvl>
    <w:lvl w:ilvl="1">
      <w:start w:val="1"/>
      <w:numFmt w:val="decimal"/>
      <w:lvlText w:val="%1.%2."/>
      <w:lvlJc w:val="center"/>
      <w:pPr>
        <w:ind w:left="720" w:hanging="360"/>
      </w:pPr>
      <w:rPr>
        <w:b/>
        <w:bCs/>
        <w:i w:val="0"/>
        <w:iCs w:val="0"/>
      </w:rPr>
    </w:lvl>
    <w:lvl w:ilvl="2">
      <w:start w:val="1"/>
      <w:numFmt w:val="hebrew1"/>
      <w:lvlText w:val="%1.%2.%3."/>
      <w:lvlJc w:val="center"/>
      <w:pPr>
        <w:ind w:left="1080" w:hanging="360"/>
      </w:pPr>
      <w:rPr>
        <w:lang w:val="en-US"/>
      </w:r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9" w15:restartNumberingAfterBreak="0">
    <w:nsid w:val="44664871"/>
    <w:multiLevelType w:val="hybridMultilevel"/>
    <w:tmpl w:val="9D02F4D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0" w15:restartNumberingAfterBreak="0">
    <w:nsid w:val="45FF7E5D"/>
    <w:multiLevelType w:val="hybridMultilevel"/>
    <w:tmpl w:val="1DA2413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1" w15:restartNumberingAfterBreak="0">
    <w:nsid w:val="464C130C"/>
    <w:multiLevelType w:val="multilevel"/>
    <w:tmpl w:val="22D0D77A"/>
    <w:lvl w:ilvl="0">
      <w:start w:val="1"/>
      <w:numFmt w:val="decimal"/>
      <w:lvlText w:val="%1."/>
      <w:lvlJc w:val="left"/>
      <w:pPr>
        <w:tabs>
          <w:tab w:val="num" w:pos="504"/>
        </w:tabs>
        <w:ind w:left="504" w:hanging="555"/>
      </w:pPr>
      <w:rPr>
        <w:rFonts w:cs="David" w:hint="default"/>
        <w:b w:val="0"/>
        <w:bCs w:val="0"/>
        <w:sz w:val="24"/>
        <w:szCs w:val="24"/>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hebrew1"/>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3C61C4A"/>
    <w:multiLevelType w:val="hybridMultilevel"/>
    <w:tmpl w:val="E8B27B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4B44FDB"/>
    <w:multiLevelType w:val="hybridMultilevel"/>
    <w:tmpl w:val="85DEF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895E41"/>
    <w:multiLevelType w:val="hybridMultilevel"/>
    <w:tmpl w:val="7310A7F8"/>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5" w15:restartNumberingAfterBreak="0">
    <w:nsid w:val="5C487C81"/>
    <w:multiLevelType w:val="multilevel"/>
    <w:tmpl w:val="6532C974"/>
    <w:lvl w:ilvl="0">
      <w:start w:val="1"/>
      <w:numFmt w:val="decimal"/>
      <w:lvlText w:val="%1."/>
      <w:lvlJc w:val="left"/>
      <w:pPr>
        <w:tabs>
          <w:tab w:val="num" w:pos="778"/>
        </w:tabs>
        <w:ind w:left="778" w:hanging="360"/>
      </w:pPr>
      <w:rPr>
        <w:rFonts w:cs="David" w:hint="cs"/>
        <w:b w:val="0"/>
        <w:bCs w:val="0"/>
        <w:i w:val="0"/>
        <w:iCs w:val="0"/>
        <w:sz w:val="24"/>
        <w:szCs w:val="24"/>
        <w:lang w:val="en-US" w:bidi="he-IL"/>
      </w:rPr>
    </w:lvl>
    <w:lvl w:ilvl="1">
      <w:start w:val="1"/>
      <w:numFmt w:val="decimal"/>
      <w:isLgl/>
      <w:lvlText w:val="%1.%2"/>
      <w:lvlJc w:val="left"/>
      <w:pPr>
        <w:tabs>
          <w:tab w:val="num" w:pos="1138"/>
        </w:tabs>
        <w:ind w:left="1138" w:hanging="360"/>
      </w:pPr>
      <w:rPr>
        <w:rFonts w:cs="Times New Roman" w:hint="cs"/>
      </w:rPr>
    </w:lvl>
    <w:lvl w:ilvl="2">
      <w:start w:val="1"/>
      <w:numFmt w:val="decimal"/>
      <w:isLgl/>
      <w:lvlText w:val="%1.%2.%3"/>
      <w:lvlJc w:val="left"/>
      <w:pPr>
        <w:tabs>
          <w:tab w:val="num" w:pos="1858"/>
        </w:tabs>
        <w:ind w:left="1858" w:hanging="720"/>
      </w:pPr>
      <w:rPr>
        <w:rFonts w:cs="Times New Roman" w:hint="cs"/>
      </w:rPr>
    </w:lvl>
    <w:lvl w:ilvl="3">
      <w:start w:val="1"/>
      <w:numFmt w:val="decimal"/>
      <w:isLgl/>
      <w:lvlText w:val="%1.%2.%3.%4"/>
      <w:lvlJc w:val="left"/>
      <w:pPr>
        <w:tabs>
          <w:tab w:val="num" w:pos="2578"/>
        </w:tabs>
        <w:ind w:left="2578" w:hanging="1080"/>
      </w:pPr>
      <w:rPr>
        <w:rFonts w:cs="Times New Roman" w:hint="cs"/>
      </w:rPr>
    </w:lvl>
    <w:lvl w:ilvl="4">
      <w:start w:val="1"/>
      <w:numFmt w:val="decimal"/>
      <w:isLgl/>
      <w:lvlText w:val="%1.%2.%3.%4.%5"/>
      <w:lvlJc w:val="left"/>
      <w:pPr>
        <w:tabs>
          <w:tab w:val="num" w:pos="2938"/>
        </w:tabs>
        <w:ind w:left="2938" w:hanging="1080"/>
      </w:pPr>
      <w:rPr>
        <w:rFonts w:cs="Times New Roman" w:hint="cs"/>
      </w:rPr>
    </w:lvl>
    <w:lvl w:ilvl="5">
      <w:start w:val="1"/>
      <w:numFmt w:val="decimal"/>
      <w:isLgl/>
      <w:lvlText w:val="%1.%2.%3.%4.%5.%6"/>
      <w:lvlJc w:val="left"/>
      <w:pPr>
        <w:tabs>
          <w:tab w:val="num" w:pos="3658"/>
        </w:tabs>
        <w:ind w:left="3658" w:hanging="1440"/>
      </w:pPr>
      <w:rPr>
        <w:rFonts w:cs="Times New Roman" w:hint="cs"/>
      </w:rPr>
    </w:lvl>
    <w:lvl w:ilvl="6">
      <w:start w:val="1"/>
      <w:numFmt w:val="decimal"/>
      <w:isLgl/>
      <w:lvlText w:val="%1.%2.%3.%4.%5.%6.%7"/>
      <w:lvlJc w:val="left"/>
      <w:pPr>
        <w:tabs>
          <w:tab w:val="num" w:pos="4018"/>
        </w:tabs>
        <w:ind w:left="4018" w:hanging="1440"/>
      </w:pPr>
      <w:rPr>
        <w:rFonts w:cs="Times New Roman" w:hint="cs"/>
      </w:rPr>
    </w:lvl>
    <w:lvl w:ilvl="7">
      <w:start w:val="1"/>
      <w:numFmt w:val="decimal"/>
      <w:isLgl/>
      <w:lvlText w:val="%1.%2.%3.%4.%5.%6.%7.%8"/>
      <w:lvlJc w:val="left"/>
      <w:pPr>
        <w:tabs>
          <w:tab w:val="num" w:pos="4738"/>
        </w:tabs>
        <w:ind w:left="4738" w:hanging="1800"/>
      </w:pPr>
      <w:rPr>
        <w:rFonts w:cs="Times New Roman" w:hint="cs"/>
      </w:rPr>
    </w:lvl>
    <w:lvl w:ilvl="8">
      <w:start w:val="1"/>
      <w:numFmt w:val="decimal"/>
      <w:isLgl/>
      <w:lvlText w:val="%1.%2.%3.%4.%5.%6.%7.%8.%9"/>
      <w:lvlJc w:val="left"/>
      <w:pPr>
        <w:tabs>
          <w:tab w:val="num" w:pos="5098"/>
        </w:tabs>
        <w:ind w:left="5098" w:hanging="1800"/>
      </w:pPr>
      <w:rPr>
        <w:rFonts w:cs="Times New Roman" w:hint="cs"/>
      </w:rPr>
    </w:lvl>
  </w:abstractNum>
  <w:abstractNum w:abstractNumId="26" w15:restartNumberingAfterBreak="0">
    <w:nsid w:val="5E9A7D09"/>
    <w:multiLevelType w:val="hybridMultilevel"/>
    <w:tmpl w:val="7646F9E8"/>
    <w:lvl w:ilvl="0" w:tplc="C19C2436">
      <w:start w:val="1"/>
      <w:numFmt w:val="decimal"/>
      <w:lvlText w:val="%1."/>
      <w:lvlJc w:val="left"/>
      <w:pPr>
        <w:tabs>
          <w:tab w:val="num" w:pos="360"/>
        </w:tabs>
        <w:ind w:left="360" w:hanging="360"/>
      </w:pPr>
      <w:rPr>
        <w:rFonts w:cs="David" w:hint="default"/>
        <w:b w:val="0"/>
        <w:bCs w:val="0"/>
        <w:lang w:bidi="he-IL"/>
      </w:rPr>
    </w:lvl>
    <w:lvl w:ilvl="1" w:tplc="176A9B64">
      <w:start w:val="1"/>
      <w:numFmt w:val="hebrew1"/>
      <w:lvlText w:val="%2."/>
      <w:lvlJc w:val="left"/>
      <w:pPr>
        <w:tabs>
          <w:tab w:val="num" w:pos="1440"/>
        </w:tabs>
        <w:ind w:left="1440" w:hanging="360"/>
      </w:pPr>
      <w:rPr>
        <w:rFonts w:cs="David" w:hint="cs"/>
        <w:sz w:val="2"/>
        <w:szCs w:val="24"/>
      </w:rPr>
    </w:lvl>
    <w:lvl w:ilvl="2" w:tplc="04090009">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EE11621"/>
    <w:multiLevelType w:val="multilevel"/>
    <w:tmpl w:val="ED5C6AFC"/>
    <w:lvl w:ilvl="0">
      <w:start w:val="1"/>
      <w:numFmt w:val="hebrew1"/>
      <w:lvlText w:val="%1."/>
      <w:lvlJc w:val="center"/>
      <w:pPr>
        <w:ind w:left="360" w:hanging="360"/>
      </w:pPr>
      <w:rPr>
        <w:sz w:val="32"/>
        <w:szCs w:val="32"/>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8" w15:restartNumberingAfterBreak="0">
    <w:nsid w:val="5EFF2CEF"/>
    <w:multiLevelType w:val="multilevel"/>
    <w:tmpl w:val="2CE6CFBA"/>
    <w:lvl w:ilvl="0">
      <w:start w:val="1"/>
      <w:numFmt w:val="decimal"/>
      <w:lvlText w:val="%1."/>
      <w:lvlJc w:val="left"/>
      <w:pPr>
        <w:tabs>
          <w:tab w:val="num" w:pos="510"/>
        </w:tabs>
        <w:ind w:left="510" w:hanging="510"/>
      </w:pPr>
      <w:rPr>
        <w:rFonts w:ascii="David" w:hAnsi="David" w:cs="David" w:hint="default"/>
        <w:b w:val="0"/>
        <w:bCs w:val="0"/>
        <w:color w:val="auto"/>
        <w:sz w:val="24"/>
        <w:szCs w:val="24"/>
        <w:lang w:bidi="he-IL"/>
      </w:rPr>
    </w:lvl>
    <w:lvl w:ilvl="1">
      <w:start w:val="1"/>
      <w:numFmt w:val="bullet"/>
      <w:lvlText w:val=""/>
      <w:lvlJc w:val="left"/>
      <w:pPr>
        <w:tabs>
          <w:tab w:val="num" w:pos="907"/>
        </w:tabs>
        <w:ind w:left="907" w:hanging="340"/>
      </w:pPr>
      <w:rPr>
        <w:rFonts w:ascii="Symbol" w:hAnsi="Symbol" w:hint="default"/>
        <w:b w:val="0"/>
        <w:bCs w:val="0"/>
        <w:lang w:val="en-US"/>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3C53EE7"/>
    <w:multiLevelType w:val="hybridMultilevel"/>
    <w:tmpl w:val="72848D64"/>
    <w:lvl w:ilvl="0" w:tplc="8E5CE122">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2317B"/>
    <w:multiLevelType w:val="hybridMultilevel"/>
    <w:tmpl w:val="AF54C028"/>
    <w:lvl w:ilvl="0" w:tplc="98B02F50">
      <w:start w:val="22"/>
      <w:numFmt w:val="decimal"/>
      <w:lvlText w:val="%1."/>
      <w:lvlJc w:val="left"/>
      <w:pPr>
        <w:tabs>
          <w:tab w:val="num" w:pos="-328"/>
        </w:tabs>
        <w:ind w:left="-328" w:right="-328" w:hanging="360"/>
      </w:pPr>
      <w:rPr>
        <w:rFonts w:hint="default"/>
        <w:bCs w:val="0"/>
        <w:iCs w:val="0"/>
      </w:rPr>
    </w:lvl>
    <w:lvl w:ilvl="1" w:tplc="5824AFF6">
      <w:start w:val="1"/>
      <w:numFmt w:val="hebrew1"/>
      <w:lvlText w:val="%2."/>
      <w:lvlJc w:val="left"/>
      <w:pPr>
        <w:tabs>
          <w:tab w:val="num" w:pos="392"/>
        </w:tabs>
        <w:ind w:left="392" w:right="392" w:hanging="360"/>
      </w:pPr>
      <w:rPr>
        <w:rFonts w:hint="cs"/>
      </w:rPr>
    </w:lvl>
    <w:lvl w:ilvl="2" w:tplc="040D001B">
      <w:start w:val="1"/>
      <w:numFmt w:val="lowerRoman"/>
      <w:lvlText w:val="%3."/>
      <w:lvlJc w:val="right"/>
      <w:pPr>
        <w:tabs>
          <w:tab w:val="num" w:pos="1112"/>
        </w:tabs>
        <w:ind w:left="1112" w:right="1112" w:hanging="180"/>
      </w:pPr>
    </w:lvl>
    <w:lvl w:ilvl="3" w:tplc="040D000F" w:tentative="1">
      <w:start w:val="1"/>
      <w:numFmt w:val="decimal"/>
      <w:lvlText w:val="%4."/>
      <w:lvlJc w:val="left"/>
      <w:pPr>
        <w:tabs>
          <w:tab w:val="num" w:pos="1832"/>
        </w:tabs>
        <w:ind w:left="1832" w:right="1832" w:hanging="360"/>
      </w:pPr>
    </w:lvl>
    <w:lvl w:ilvl="4" w:tplc="040D0019" w:tentative="1">
      <w:start w:val="1"/>
      <w:numFmt w:val="lowerLetter"/>
      <w:lvlText w:val="%5."/>
      <w:lvlJc w:val="left"/>
      <w:pPr>
        <w:tabs>
          <w:tab w:val="num" w:pos="2552"/>
        </w:tabs>
        <w:ind w:left="2552" w:right="2552" w:hanging="360"/>
      </w:pPr>
    </w:lvl>
    <w:lvl w:ilvl="5" w:tplc="040D001B" w:tentative="1">
      <w:start w:val="1"/>
      <w:numFmt w:val="lowerRoman"/>
      <w:lvlText w:val="%6."/>
      <w:lvlJc w:val="right"/>
      <w:pPr>
        <w:tabs>
          <w:tab w:val="num" w:pos="3272"/>
        </w:tabs>
        <w:ind w:left="3272" w:right="3272" w:hanging="180"/>
      </w:pPr>
    </w:lvl>
    <w:lvl w:ilvl="6" w:tplc="040D000F" w:tentative="1">
      <w:start w:val="1"/>
      <w:numFmt w:val="decimal"/>
      <w:lvlText w:val="%7."/>
      <w:lvlJc w:val="left"/>
      <w:pPr>
        <w:tabs>
          <w:tab w:val="num" w:pos="3992"/>
        </w:tabs>
        <w:ind w:left="3992" w:right="3992" w:hanging="360"/>
      </w:pPr>
    </w:lvl>
    <w:lvl w:ilvl="7" w:tplc="040D0019" w:tentative="1">
      <w:start w:val="1"/>
      <w:numFmt w:val="lowerLetter"/>
      <w:lvlText w:val="%8."/>
      <w:lvlJc w:val="left"/>
      <w:pPr>
        <w:tabs>
          <w:tab w:val="num" w:pos="4712"/>
        </w:tabs>
        <w:ind w:left="4712" w:right="4712" w:hanging="360"/>
      </w:pPr>
    </w:lvl>
    <w:lvl w:ilvl="8" w:tplc="040D001B" w:tentative="1">
      <w:start w:val="1"/>
      <w:numFmt w:val="lowerRoman"/>
      <w:lvlText w:val="%9."/>
      <w:lvlJc w:val="right"/>
      <w:pPr>
        <w:tabs>
          <w:tab w:val="num" w:pos="5432"/>
        </w:tabs>
        <w:ind w:left="5432" w:right="5432" w:hanging="180"/>
      </w:pPr>
    </w:lvl>
  </w:abstractNum>
  <w:abstractNum w:abstractNumId="31" w15:restartNumberingAfterBreak="0">
    <w:nsid w:val="65705396"/>
    <w:multiLevelType w:val="multilevel"/>
    <w:tmpl w:val="AD0C3BE0"/>
    <w:lvl w:ilvl="0">
      <w:start w:val="1"/>
      <w:numFmt w:val="decimal"/>
      <w:lvlText w:val="%1."/>
      <w:lvlJc w:val="left"/>
      <w:pPr>
        <w:tabs>
          <w:tab w:val="num" w:pos="510"/>
        </w:tabs>
        <w:ind w:left="510" w:hanging="510"/>
      </w:pPr>
      <w:rPr>
        <w:rFonts w:cs="David" w:hint="default"/>
        <w:b w:val="0"/>
        <w:bCs w:val="0"/>
        <w:sz w:val="24"/>
        <w:szCs w:val="24"/>
      </w:rPr>
    </w:lvl>
    <w:lvl w:ilvl="1">
      <w:start w:val="1"/>
      <w:numFmt w:val="bullet"/>
      <w:lvlText w:val=""/>
      <w:lvlJc w:val="left"/>
      <w:pPr>
        <w:tabs>
          <w:tab w:val="num" w:pos="907"/>
        </w:tabs>
        <w:ind w:left="907" w:hanging="340"/>
      </w:pPr>
      <w:rPr>
        <w:rFonts w:ascii="Symbol" w:hAnsi="Symbol" w:hint="default"/>
        <w:b w:val="0"/>
      </w:rPr>
    </w:lvl>
    <w:lvl w:ilvl="2">
      <w:start w:val="1"/>
      <w:numFmt w:val="decimal"/>
      <w:lvlText w:val="%3)"/>
      <w:lvlJc w:val="left"/>
      <w:pPr>
        <w:tabs>
          <w:tab w:val="num" w:pos="1361"/>
        </w:tabs>
        <w:ind w:left="1361" w:hanging="454"/>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6635596D"/>
    <w:multiLevelType w:val="hybridMultilevel"/>
    <w:tmpl w:val="1E5E794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15:restartNumberingAfterBreak="0">
    <w:nsid w:val="6F9C7497"/>
    <w:multiLevelType w:val="multilevel"/>
    <w:tmpl w:val="D57A2E2C"/>
    <w:lvl w:ilvl="0">
      <w:start w:val="1"/>
      <w:numFmt w:val="decimal"/>
      <w:lvlText w:val="%1."/>
      <w:lvlJc w:val="left"/>
      <w:pPr>
        <w:tabs>
          <w:tab w:val="num" w:pos="510"/>
        </w:tabs>
        <w:ind w:left="510" w:hanging="510"/>
      </w:pPr>
      <w:rPr>
        <w:rFonts w:cs="David" w:hint="default"/>
        <w:b w:val="0"/>
        <w:bCs w:val="0"/>
        <w:sz w:val="24"/>
        <w:szCs w:val="24"/>
      </w:rPr>
    </w:lvl>
    <w:lvl w:ilvl="1">
      <w:start w:val="1"/>
      <w:numFmt w:val="bullet"/>
      <w:lvlText w:val=""/>
      <w:lvlJc w:val="left"/>
      <w:pPr>
        <w:tabs>
          <w:tab w:val="num" w:pos="907"/>
        </w:tabs>
        <w:ind w:left="907" w:hanging="340"/>
      </w:pPr>
      <w:rPr>
        <w:rFonts w:ascii="Symbol" w:hAnsi="Symbol" w:hint="default"/>
        <w:b w:val="0"/>
        <w:bCs w:val="0"/>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A490770"/>
    <w:multiLevelType w:val="hybridMultilevel"/>
    <w:tmpl w:val="4E4625D4"/>
    <w:lvl w:ilvl="0" w:tplc="87BCCBDC">
      <w:start w:val="1"/>
      <w:numFmt w:val="decimal"/>
      <w:lvlText w:val="%1."/>
      <w:lvlJc w:val="left"/>
      <w:pPr>
        <w:tabs>
          <w:tab w:val="num" w:pos="720"/>
        </w:tabs>
        <w:ind w:left="720" w:hanging="360"/>
      </w:pPr>
      <w:rPr>
        <w:rFonts w:hint="default"/>
        <w:b w:val="0"/>
        <w:bCs w:val="0"/>
        <w:lang w:bidi="he-IL"/>
      </w:rPr>
    </w:lvl>
    <w:lvl w:ilvl="1" w:tplc="04090009">
      <w:start w:val="1"/>
      <w:numFmt w:val="bullet"/>
      <w:lvlText w:val=""/>
      <w:lvlJc w:val="left"/>
      <w:pPr>
        <w:tabs>
          <w:tab w:val="num" w:pos="1440"/>
        </w:tabs>
        <w:ind w:left="1440" w:hanging="360"/>
      </w:pPr>
      <w:rPr>
        <w:rFonts w:ascii="Wingdings" w:hAnsi="Wingdings" w:hint="default"/>
        <w:lang w:bidi="he-I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AB07462"/>
    <w:multiLevelType w:val="multilevel"/>
    <w:tmpl w:val="27460FE6"/>
    <w:lvl w:ilvl="0">
      <w:start w:val="1"/>
      <w:numFmt w:val="decimal"/>
      <w:lvlText w:val="%1."/>
      <w:lvlJc w:val="left"/>
      <w:pPr>
        <w:tabs>
          <w:tab w:val="num" w:pos="510"/>
        </w:tabs>
        <w:ind w:left="510" w:hanging="510"/>
      </w:pPr>
      <w:rPr>
        <w:rFonts w:cs="David" w:hint="default"/>
        <w:b w:val="0"/>
        <w:bCs w:val="0"/>
        <w:sz w:val="24"/>
        <w:szCs w:val="24"/>
      </w:rPr>
    </w:lvl>
    <w:lvl w:ilvl="1">
      <w:start w:val="1"/>
      <w:numFmt w:val="hebrew1"/>
      <w:lvlText w:val="%2)"/>
      <w:lvlJc w:val="left"/>
      <w:pPr>
        <w:tabs>
          <w:tab w:val="num" w:pos="907"/>
        </w:tabs>
        <w:ind w:left="907" w:hanging="340"/>
      </w:pPr>
      <w:rPr>
        <w:rFonts w:hint="default"/>
        <w:b w:val="0"/>
        <w:bCs w:val="0"/>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15"/>
  </w:num>
  <w:num w:numId="3">
    <w:abstractNumId w:val="2"/>
  </w:num>
  <w:num w:numId="4">
    <w:abstractNumId w:val="28"/>
  </w:num>
  <w:num w:numId="5">
    <w:abstractNumId w:val="10"/>
  </w:num>
  <w:num w:numId="6">
    <w:abstractNumId w:val="17"/>
  </w:num>
  <w:num w:numId="7">
    <w:abstractNumId w:val="11"/>
  </w:num>
  <w:num w:numId="8">
    <w:abstractNumId w:val="33"/>
  </w:num>
  <w:num w:numId="9">
    <w:abstractNumId w:val="35"/>
  </w:num>
  <w:num w:numId="10">
    <w:abstractNumId w:val="22"/>
  </w:num>
  <w:num w:numId="11">
    <w:abstractNumId w:val="9"/>
  </w:num>
  <w:num w:numId="12">
    <w:abstractNumId w:val="8"/>
  </w:num>
  <w:num w:numId="13">
    <w:abstractNumId w:val="19"/>
  </w:num>
  <w:num w:numId="14">
    <w:abstractNumId w:val="26"/>
  </w:num>
  <w:num w:numId="15">
    <w:abstractNumId w:val="24"/>
  </w:num>
  <w:num w:numId="16">
    <w:abstractNumId w:val="25"/>
  </w:num>
  <w:num w:numId="17">
    <w:abstractNumId w:val="6"/>
  </w:num>
  <w:num w:numId="18">
    <w:abstractNumId w:val="32"/>
  </w:num>
  <w:num w:numId="19">
    <w:abstractNumId w:val="20"/>
  </w:num>
  <w:num w:numId="20">
    <w:abstractNumId w:val="29"/>
  </w:num>
  <w:num w:numId="21">
    <w:abstractNumId w:val="30"/>
  </w:num>
  <w:num w:numId="22">
    <w:abstractNumId w:val="34"/>
  </w:num>
  <w:num w:numId="23">
    <w:abstractNumId w:val="21"/>
  </w:num>
  <w:num w:numId="24">
    <w:abstractNumId w:val="14"/>
  </w:num>
  <w:num w:numId="25">
    <w:abstractNumId w:val="23"/>
  </w:num>
  <w:num w:numId="26">
    <w:abstractNumId w:val="12"/>
  </w:num>
  <w:num w:numId="27">
    <w:abstractNumId w:val="5"/>
  </w:num>
  <w:num w:numId="28">
    <w:abstractNumId w:val="1"/>
  </w:num>
  <w:num w:numId="29">
    <w:abstractNumId w:val="27"/>
  </w:num>
  <w:num w:numId="30">
    <w:abstractNumId w:val="0"/>
  </w:num>
  <w:num w:numId="31">
    <w:abstractNumId w:val="16"/>
  </w:num>
  <w:num w:numId="32">
    <w:abstractNumId w:val="18"/>
  </w:num>
  <w:num w:numId="33">
    <w:abstractNumId w:val="3"/>
  </w:num>
  <w:num w:numId="34">
    <w:abstractNumId w:val="7"/>
  </w:num>
  <w:num w:numId="35">
    <w:abstractNumId w:val="3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D7"/>
    <w:rsid w:val="000042E3"/>
    <w:rsid w:val="00004A96"/>
    <w:rsid w:val="000106B7"/>
    <w:rsid w:val="00025186"/>
    <w:rsid w:val="0002655F"/>
    <w:rsid w:val="00032D94"/>
    <w:rsid w:val="0003307C"/>
    <w:rsid w:val="00035EEC"/>
    <w:rsid w:val="0004599B"/>
    <w:rsid w:val="00046271"/>
    <w:rsid w:val="00046F5A"/>
    <w:rsid w:val="000525D4"/>
    <w:rsid w:val="00061982"/>
    <w:rsid w:val="0006222E"/>
    <w:rsid w:val="00062642"/>
    <w:rsid w:val="0006313A"/>
    <w:rsid w:val="0006367F"/>
    <w:rsid w:val="00064FF6"/>
    <w:rsid w:val="0006634E"/>
    <w:rsid w:val="00072A83"/>
    <w:rsid w:val="000745B4"/>
    <w:rsid w:val="00075686"/>
    <w:rsid w:val="00075695"/>
    <w:rsid w:val="00075B9F"/>
    <w:rsid w:val="00077425"/>
    <w:rsid w:val="00083F0E"/>
    <w:rsid w:val="00086775"/>
    <w:rsid w:val="00093EF5"/>
    <w:rsid w:val="00093F6D"/>
    <w:rsid w:val="00094442"/>
    <w:rsid w:val="000944F6"/>
    <w:rsid w:val="000A30C7"/>
    <w:rsid w:val="000A6489"/>
    <w:rsid w:val="000B2651"/>
    <w:rsid w:val="000B5D5F"/>
    <w:rsid w:val="000B6F36"/>
    <w:rsid w:val="000B727B"/>
    <w:rsid w:val="000C1758"/>
    <w:rsid w:val="000C666E"/>
    <w:rsid w:val="000C7B26"/>
    <w:rsid w:val="000D3455"/>
    <w:rsid w:val="000D4721"/>
    <w:rsid w:val="000E10BB"/>
    <w:rsid w:val="000E1C95"/>
    <w:rsid w:val="000F0F3C"/>
    <w:rsid w:val="000F47A7"/>
    <w:rsid w:val="000F53EA"/>
    <w:rsid w:val="000F7817"/>
    <w:rsid w:val="0010064C"/>
    <w:rsid w:val="001017A9"/>
    <w:rsid w:val="0010481A"/>
    <w:rsid w:val="0011147B"/>
    <w:rsid w:val="00115781"/>
    <w:rsid w:val="00120203"/>
    <w:rsid w:val="00121D98"/>
    <w:rsid w:val="00124AE9"/>
    <w:rsid w:val="00125CFB"/>
    <w:rsid w:val="00132521"/>
    <w:rsid w:val="00140082"/>
    <w:rsid w:val="00142D18"/>
    <w:rsid w:val="001437AE"/>
    <w:rsid w:val="001475E9"/>
    <w:rsid w:val="0016000C"/>
    <w:rsid w:val="00160337"/>
    <w:rsid w:val="00160B30"/>
    <w:rsid w:val="00163022"/>
    <w:rsid w:val="001659B3"/>
    <w:rsid w:val="00167E8B"/>
    <w:rsid w:val="001743A2"/>
    <w:rsid w:val="00176ED0"/>
    <w:rsid w:val="00177233"/>
    <w:rsid w:val="001A5899"/>
    <w:rsid w:val="001A66F4"/>
    <w:rsid w:val="001B562E"/>
    <w:rsid w:val="001B6785"/>
    <w:rsid w:val="001C08E0"/>
    <w:rsid w:val="001C0FCD"/>
    <w:rsid w:val="001C1045"/>
    <w:rsid w:val="001C479B"/>
    <w:rsid w:val="001C4E3E"/>
    <w:rsid w:val="001D39B3"/>
    <w:rsid w:val="001D6DBA"/>
    <w:rsid w:val="001D6E69"/>
    <w:rsid w:val="001E428D"/>
    <w:rsid w:val="001E585F"/>
    <w:rsid w:val="001F4280"/>
    <w:rsid w:val="00202E46"/>
    <w:rsid w:val="00203097"/>
    <w:rsid w:val="0020385B"/>
    <w:rsid w:val="002110B8"/>
    <w:rsid w:val="0021297F"/>
    <w:rsid w:val="00212A1B"/>
    <w:rsid w:val="002154F8"/>
    <w:rsid w:val="00215DC0"/>
    <w:rsid w:val="00221B6A"/>
    <w:rsid w:val="002238A9"/>
    <w:rsid w:val="00224BC4"/>
    <w:rsid w:val="00230739"/>
    <w:rsid w:val="00231AD9"/>
    <w:rsid w:val="00231B29"/>
    <w:rsid w:val="00234244"/>
    <w:rsid w:val="00234533"/>
    <w:rsid w:val="00240363"/>
    <w:rsid w:val="00242C16"/>
    <w:rsid w:val="00242EB0"/>
    <w:rsid w:val="002460B4"/>
    <w:rsid w:val="00246258"/>
    <w:rsid w:val="0025079B"/>
    <w:rsid w:val="0025729A"/>
    <w:rsid w:val="002611FC"/>
    <w:rsid w:val="00264716"/>
    <w:rsid w:val="002647D1"/>
    <w:rsid w:val="00265BAF"/>
    <w:rsid w:val="002660FB"/>
    <w:rsid w:val="00270872"/>
    <w:rsid w:val="00285848"/>
    <w:rsid w:val="002925C4"/>
    <w:rsid w:val="00297CBF"/>
    <w:rsid w:val="002A154E"/>
    <w:rsid w:val="002A3F00"/>
    <w:rsid w:val="002A5F1F"/>
    <w:rsid w:val="002A67D8"/>
    <w:rsid w:val="002B2DD8"/>
    <w:rsid w:val="002B5497"/>
    <w:rsid w:val="002C2765"/>
    <w:rsid w:val="002C2FE6"/>
    <w:rsid w:val="002C3306"/>
    <w:rsid w:val="002D71D2"/>
    <w:rsid w:val="002E0D82"/>
    <w:rsid w:val="002E2E18"/>
    <w:rsid w:val="002F0FA6"/>
    <w:rsid w:val="002F4419"/>
    <w:rsid w:val="002F5DC2"/>
    <w:rsid w:val="002F616F"/>
    <w:rsid w:val="00307C56"/>
    <w:rsid w:val="00324A63"/>
    <w:rsid w:val="00326849"/>
    <w:rsid w:val="00327408"/>
    <w:rsid w:val="00330A8E"/>
    <w:rsid w:val="0033261F"/>
    <w:rsid w:val="00336269"/>
    <w:rsid w:val="003506B1"/>
    <w:rsid w:val="00351A95"/>
    <w:rsid w:val="00361716"/>
    <w:rsid w:val="00362987"/>
    <w:rsid w:val="00363709"/>
    <w:rsid w:val="00365B18"/>
    <w:rsid w:val="003674D3"/>
    <w:rsid w:val="00367E94"/>
    <w:rsid w:val="00372109"/>
    <w:rsid w:val="00372AED"/>
    <w:rsid w:val="00377C32"/>
    <w:rsid w:val="003902C1"/>
    <w:rsid w:val="003936BD"/>
    <w:rsid w:val="003A0C49"/>
    <w:rsid w:val="003A250B"/>
    <w:rsid w:val="003A289E"/>
    <w:rsid w:val="003A4DA4"/>
    <w:rsid w:val="003A4EAD"/>
    <w:rsid w:val="003B2B8D"/>
    <w:rsid w:val="003B6AFE"/>
    <w:rsid w:val="003C3BB2"/>
    <w:rsid w:val="003C4B72"/>
    <w:rsid w:val="003C5CB9"/>
    <w:rsid w:val="003C6095"/>
    <w:rsid w:val="003D04CD"/>
    <w:rsid w:val="003D1FE0"/>
    <w:rsid w:val="003D4541"/>
    <w:rsid w:val="003E1298"/>
    <w:rsid w:val="003E7855"/>
    <w:rsid w:val="004016D8"/>
    <w:rsid w:val="00407377"/>
    <w:rsid w:val="00411241"/>
    <w:rsid w:val="004141DB"/>
    <w:rsid w:val="004156CF"/>
    <w:rsid w:val="00415A8F"/>
    <w:rsid w:val="00415B10"/>
    <w:rsid w:val="00416241"/>
    <w:rsid w:val="00416FE5"/>
    <w:rsid w:val="00421CC7"/>
    <w:rsid w:val="00421D82"/>
    <w:rsid w:val="00424835"/>
    <w:rsid w:val="00432C1C"/>
    <w:rsid w:val="004332F0"/>
    <w:rsid w:val="0043554E"/>
    <w:rsid w:val="0044101D"/>
    <w:rsid w:val="004415C7"/>
    <w:rsid w:val="0044410E"/>
    <w:rsid w:val="00444423"/>
    <w:rsid w:val="0045395B"/>
    <w:rsid w:val="0046270A"/>
    <w:rsid w:val="0046526A"/>
    <w:rsid w:val="004671D9"/>
    <w:rsid w:val="00471294"/>
    <w:rsid w:val="00471E5F"/>
    <w:rsid w:val="00472D18"/>
    <w:rsid w:val="004730F6"/>
    <w:rsid w:val="00475041"/>
    <w:rsid w:val="00476657"/>
    <w:rsid w:val="004814B2"/>
    <w:rsid w:val="00482B5C"/>
    <w:rsid w:val="004839FB"/>
    <w:rsid w:val="0048441F"/>
    <w:rsid w:val="0048580E"/>
    <w:rsid w:val="004A1505"/>
    <w:rsid w:val="004A244A"/>
    <w:rsid w:val="004A3AB6"/>
    <w:rsid w:val="004B29E5"/>
    <w:rsid w:val="004B709A"/>
    <w:rsid w:val="004B713F"/>
    <w:rsid w:val="004C4BE2"/>
    <w:rsid w:val="004C65D2"/>
    <w:rsid w:val="004C6E28"/>
    <w:rsid w:val="004D0CD1"/>
    <w:rsid w:val="004D29E3"/>
    <w:rsid w:val="004D6AE4"/>
    <w:rsid w:val="004E1A45"/>
    <w:rsid w:val="004E3481"/>
    <w:rsid w:val="004F07C4"/>
    <w:rsid w:val="004F34B4"/>
    <w:rsid w:val="004F46A2"/>
    <w:rsid w:val="004F67C2"/>
    <w:rsid w:val="004F6E87"/>
    <w:rsid w:val="004F7034"/>
    <w:rsid w:val="00500782"/>
    <w:rsid w:val="00522047"/>
    <w:rsid w:val="00524046"/>
    <w:rsid w:val="0052508B"/>
    <w:rsid w:val="00527043"/>
    <w:rsid w:val="005333D0"/>
    <w:rsid w:val="00534F42"/>
    <w:rsid w:val="00537359"/>
    <w:rsid w:val="005379DC"/>
    <w:rsid w:val="00542176"/>
    <w:rsid w:val="00542407"/>
    <w:rsid w:val="00546750"/>
    <w:rsid w:val="00550F19"/>
    <w:rsid w:val="005518F9"/>
    <w:rsid w:val="00555090"/>
    <w:rsid w:val="00557630"/>
    <w:rsid w:val="0056026C"/>
    <w:rsid w:val="00561FE6"/>
    <w:rsid w:val="005647F2"/>
    <w:rsid w:val="00571BE3"/>
    <w:rsid w:val="00575349"/>
    <w:rsid w:val="005803EF"/>
    <w:rsid w:val="005822A1"/>
    <w:rsid w:val="00590113"/>
    <w:rsid w:val="005927D4"/>
    <w:rsid w:val="0059586D"/>
    <w:rsid w:val="005A1A8D"/>
    <w:rsid w:val="005A3C18"/>
    <w:rsid w:val="005A3E97"/>
    <w:rsid w:val="005B5584"/>
    <w:rsid w:val="005B7D9D"/>
    <w:rsid w:val="005D017A"/>
    <w:rsid w:val="005D3515"/>
    <w:rsid w:val="005D6055"/>
    <w:rsid w:val="005E00EF"/>
    <w:rsid w:val="005E4516"/>
    <w:rsid w:val="005E4547"/>
    <w:rsid w:val="005E631E"/>
    <w:rsid w:val="005E6706"/>
    <w:rsid w:val="005E7A45"/>
    <w:rsid w:val="005F3D6D"/>
    <w:rsid w:val="005F542E"/>
    <w:rsid w:val="005F70F3"/>
    <w:rsid w:val="005F7D8A"/>
    <w:rsid w:val="0060494C"/>
    <w:rsid w:val="00605F2E"/>
    <w:rsid w:val="00607D11"/>
    <w:rsid w:val="00611830"/>
    <w:rsid w:val="00624E6B"/>
    <w:rsid w:val="00627AF0"/>
    <w:rsid w:val="00631865"/>
    <w:rsid w:val="00631C32"/>
    <w:rsid w:val="006334F8"/>
    <w:rsid w:val="00636F0B"/>
    <w:rsid w:val="00637DD9"/>
    <w:rsid w:val="00640677"/>
    <w:rsid w:val="00640D40"/>
    <w:rsid w:val="006446F8"/>
    <w:rsid w:val="00644778"/>
    <w:rsid w:val="00644F78"/>
    <w:rsid w:val="0065097F"/>
    <w:rsid w:val="0065337E"/>
    <w:rsid w:val="006546D5"/>
    <w:rsid w:val="006641D3"/>
    <w:rsid w:val="00664388"/>
    <w:rsid w:val="0066704F"/>
    <w:rsid w:val="00670310"/>
    <w:rsid w:val="00672439"/>
    <w:rsid w:val="00675924"/>
    <w:rsid w:val="00681A98"/>
    <w:rsid w:val="006822AF"/>
    <w:rsid w:val="00694034"/>
    <w:rsid w:val="00695258"/>
    <w:rsid w:val="006953B6"/>
    <w:rsid w:val="00696DFB"/>
    <w:rsid w:val="006A0D78"/>
    <w:rsid w:val="006A3E43"/>
    <w:rsid w:val="006A677F"/>
    <w:rsid w:val="006B0107"/>
    <w:rsid w:val="006C347B"/>
    <w:rsid w:val="006C59AF"/>
    <w:rsid w:val="006C7EEB"/>
    <w:rsid w:val="006D529E"/>
    <w:rsid w:val="006D7BC5"/>
    <w:rsid w:val="006E0FC9"/>
    <w:rsid w:val="006E18A6"/>
    <w:rsid w:val="006E1A4B"/>
    <w:rsid w:val="007024CD"/>
    <w:rsid w:val="0070636C"/>
    <w:rsid w:val="00706D6F"/>
    <w:rsid w:val="0070740E"/>
    <w:rsid w:val="00707A96"/>
    <w:rsid w:val="00721F5C"/>
    <w:rsid w:val="00722DA9"/>
    <w:rsid w:val="00725036"/>
    <w:rsid w:val="0072664A"/>
    <w:rsid w:val="00730B73"/>
    <w:rsid w:val="00741ABD"/>
    <w:rsid w:val="00743574"/>
    <w:rsid w:val="00743F39"/>
    <w:rsid w:val="007447D7"/>
    <w:rsid w:val="00747F2F"/>
    <w:rsid w:val="00756390"/>
    <w:rsid w:val="00756D2F"/>
    <w:rsid w:val="007622B4"/>
    <w:rsid w:val="00766B63"/>
    <w:rsid w:val="007706AC"/>
    <w:rsid w:val="00772DFD"/>
    <w:rsid w:val="007757C7"/>
    <w:rsid w:val="00775EFD"/>
    <w:rsid w:val="0077650E"/>
    <w:rsid w:val="00785094"/>
    <w:rsid w:val="00786B04"/>
    <w:rsid w:val="0079241D"/>
    <w:rsid w:val="00793145"/>
    <w:rsid w:val="00794F2C"/>
    <w:rsid w:val="007A39CC"/>
    <w:rsid w:val="007A3A4A"/>
    <w:rsid w:val="007A6B44"/>
    <w:rsid w:val="007A742B"/>
    <w:rsid w:val="007A76A6"/>
    <w:rsid w:val="007B1900"/>
    <w:rsid w:val="007B2499"/>
    <w:rsid w:val="007C209A"/>
    <w:rsid w:val="007C2F65"/>
    <w:rsid w:val="007C374D"/>
    <w:rsid w:val="007C5395"/>
    <w:rsid w:val="007D520A"/>
    <w:rsid w:val="007D63E9"/>
    <w:rsid w:val="007D7D4D"/>
    <w:rsid w:val="007E6065"/>
    <w:rsid w:val="008012A3"/>
    <w:rsid w:val="00803C2E"/>
    <w:rsid w:val="008072F3"/>
    <w:rsid w:val="008125C1"/>
    <w:rsid w:val="00816B73"/>
    <w:rsid w:val="00824661"/>
    <w:rsid w:val="00824E5C"/>
    <w:rsid w:val="0082599E"/>
    <w:rsid w:val="008348FE"/>
    <w:rsid w:val="00835752"/>
    <w:rsid w:val="00836DC8"/>
    <w:rsid w:val="008419CB"/>
    <w:rsid w:val="0084608A"/>
    <w:rsid w:val="00847A28"/>
    <w:rsid w:val="00854281"/>
    <w:rsid w:val="008563AB"/>
    <w:rsid w:val="00856B93"/>
    <w:rsid w:val="00873647"/>
    <w:rsid w:val="0088099C"/>
    <w:rsid w:val="00886104"/>
    <w:rsid w:val="00887D76"/>
    <w:rsid w:val="008900EF"/>
    <w:rsid w:val="00891CBE"/>
    <w:rsid w:val="008936E1"/>
    <w:rsid w:val="008966EF"/>
    <w:rsid w:val="00896F1F"/>
    <w:rsid w:val="008A05F3"/>
    <w:rsid w:val="008A3CF8"/>
    <w:rsid w:val="008A7C11"/>
    <w:rsid w:val="008C7FB9"/>
    <w:rsid w:val="008D21E8"/>
    <w:rsid w:val="008D41E9"/>
    <w:rsid w:val="008E2113"/>
    <w:rsid w:val="008E2700"/>
    <w:rsid w:val="0090569A"/>
    <w:rsid w:val="0091232C"/>
    <w:rsid w:val="00916687"/>
    <w:rsid w:val="00917553"/>
    <w:rsid w:val="00920EA9"/>
    <w:rsid w:val="009253F6"/>
    <w:rsid w:val="00926CAD"/>
    <w:rsid w:val="00937BAC"/>
    <w:rsid w:val="009450EE"/>
    <w:rsid w:val="00950E19"/>
    <w:rsid w:val="009526BE"/>
    <w:rsid w:val="00953A11"/>
    <w:rsid w:val="00954FBE"/>
    <w:rsid w:val="009565B0"/>
    <w:rsid w:val="0097064E"/>
    <w:rsid w:val="00977376"/>
    <w:rsid w:val="0098204F"/>
    <w:rsid w:val="009828C3"/>
    <w:rsid w:val="009857B3"/>
    <w:rsid w:val="00992B3D"/>
    <w:rsid w:val="00993350"/>
    <w:rsid w:val="00994AE2"/>
    <w:rsid w:val="009A09DC"/>
    <w:rsid w:val="009A29C7"/>
    <w:rsid w:val="009A35A5"/>
    <w:rsid w:val="009A39CD"/>
    <w:rsid w:val="009A7CDD"/>
    <w:rsid w:val="009B4CE2"/>
    <w:rsid w:val="009B50E4"/>
    <w:rsid w:val="009B7410"/>
    <w:rsid w:val="009C1E6C"/>
    <w:rsid w:val="009C4460"/>
    <w:rsid w:val="009C76C5"/>
    <w:rsid w:val="009D2C53"/>
    <w:rsid w:val="009D7CC0"/>
    <w:rsid w:val="009E1FEE"/>
    <w:rsid w:val="009E5A62"/>
    <w:rsid w:val="009E5C4C"/>
    <w:rsid w:val="009F70BE"/>
    <w:rsid w:val="00A02666"/>
    <w:rsid w:val="00A038A4"/>
    <w:rsid w:val="00A061B5"/>
    <w:rsid w:val="00A14271"/>
    <w:rsid w:val="00A14B5C"/>
    <w:rsid w:val="00A1526A"/>
    <w:rsid w:val="00A21A8E"/>
    <w:rsid w:val="00A23CA6"/>
    <w:rsid w:val="00A31FB9"/>
    <w:rsid w:val="00A3757B"/>
    <w:rsid w:val="00A40154"/>
    <w:rsid w:val="00A43770"/>
    <w:rsid w:val="00A4696B"/>
    <w:rsid w:val="00A4770E"/>
    <w:rsid w:val="00A5055B"/>
    <w:rsid w:val="00A50F2E"/>
    <w:rsid w:val="00A5473C"/>
    <w:rsid w:val="00A5655F"/>
    <w:rsid w:val="00A5710B"/>
    <w:rsid w:val="00A61C4A"/>
    <w:rsid w:val="00A63AD0"/>
    <w:rsid w:val="00A662EA"/>
    <w:rsid w:val="00A66648"/>
    <w:rsid w:val="00A67D4E"/>
    <w:rsid w:val="00A717EA"/>
    <w:rsid w:val="00A76778"/>
    <w:rsid w:val="00A80EF4"/>
    <w:rsid w:val="00A822C5"/>
    <w:rsid w:val="00A82C48"/>
    <w:rsid w:val="00A84F48"/>
    <w:rsid w:val="00A84FF5"/>
    <w:rsid w:val="00A92F6C"/>
    <w:rsid w:val="00A959A2"/>
    <w:rsid w:val="00A96B46"/>
    <w:rsid w:val="00AA4001"/>
    <w:rsid w:val="00AA6637"/>
    <w:rsid w:val="00AB2CB9"/>
    <w:rsid w:val="00AB3A63"/>
    <w:rsid w:val="00AB5C43"/>
    <w:rsid w:val="00AB6DF7"/>
    <w:rsid w:val="00AC673B"/>
    <w:rsid w:val="00AC72BB"/>
    <w:rsid w:val="00AD0629"/>
    <w:rsid w:val="00AD469E"/>
    <w:rsid w:val="00AD7A0E"/>
    <w:rsid w:val="00AF6D3F"/>
    <w:rsid w:val="00B0064E"/>
    <w:rsid w:val="00B058B9"/>
    <w:rsid w:val="00B15E2C"/>
    <w:rsid w:val="00B1731E"/>
    <w:rsid w:val="00B23B29"/>
    <w:rsid w:val="00B244FF"/>
    <w:rsid w:val="00B247F0"/>
    <w:rsid w:val="00B25AB3"/>
    <w:rsid w:val="00B322DC"/>
    <w:rsid w:val="00B40743"/>
    <w:rsid w:val="00B47001"/>
    <w:rsid w:val="00B54F9C"/>
    <w:rsid w:val="00B55B27"/>
    <w:rsid w:val="00B56A35"/>
    <w:rsid w:val="00B619A6"/>
    <w:rsid w:val="00B645FC"/>
    <w:rsid w:val="00B64E72"/>
    <w:rsid w:val="00B65614"/>
    <w:rsid w:val="00B71787"/>
    <w:rsid w:val="00B7208D"/>
    <w:rsid w:val="00B72859"/>
    <w:rsid w:val="00B80F7F"/>
    <w:rsid w:val="00B817A3"/>
    <w:rsid w:val="00B82ED4"/>
    <w:rsid w:val="00B92773"/>
    <w:rsid w:val="00B93A64"/>
    <w:rsid w:val="00B9459E"/>
    <w:rsid w:val="00B97C59"/>
    <w:rsid w:val="00BA0525"/>
    <w:rsid w:val="00BB5872"/>
    <w:rsid w:val="00BC1F3B"/>
    <w:rsid w:val="00BC70CC"/>
    <w:rsid w:val="00BC70D4"/>
    <w:rsid w:val="00BD224E"/>
    <w:rsid w:val="00BE1AA1"/>
    <w:rsid w:val="00BE571B"/>
    <w:rsid w:val="00BE5AD3"/>
    <w:rsid w:val="00BE5BC2"/>
    <w:rsid w:val="00BE6D78"/>
    <w:rsid w:val="00BF012E"/>
    <w:rsid w:val="00BF2B85"/>
    <w:rsid w:val="00BF5B28"/>
    <w:rsid w:val="00BF6518"/>
    <w:rsid w:val="00C245BD"/>
    <w:rsid w:val="00C26AC7"/>
    <w:rsid w:val="00C27038"/>
    <w:rsid w:val="00C27148"/>
    <w:rsid w:val="00C3305A"/>
    <w:rsid w:val="00C37BE1"/>
    <w:rsid w:val="00C43395"/>
    <w:rsid w:val="00C472A0"/>
    <w:rsid w:val="00C566C2"/>
    <w:rsid w:val="00C56718"/>
    <w:rsid w:val="00C610BF"/>
    <w:rsid w:val="00C62DBC"/>
    <w:rsid w:val="00C64A58"/>
    <w:rsid w:val="00C72A6D"/>
    <w:rsid w:val="00C73609"/>
    <w:rsid w:val="00C75835"/>
    <w:rsid w:val="00C75C44"/>
    <w:rsid w:val="00C936E3"/>
    <w:rsid w:val="00C9414D"/>
    <w:rsid w:val="00C960E5"/>
    <w:rsid w:val="00CA10F2"/>
    <w:rsid w:val="00CA5415"/>
    <w:rsid w:val="00CA7CC4"/>
    <w:rsid w:val="00CB0510"/>
    <w:rsid w:val="00CB2059"/>
    <w:rsid w:val="00CB5A00"/>
    <w:rsid w:val="00CC559D"/>
    <w:rsid w:val="00CD0099"/>
    <w:rsid w:val="00CD051E"/>
    <w:rsid w:val="00CD10DB"/>
    <w:rsid w:val="00CD751F"/>
    <w:rsid w:val="00CD7F8B"/>
    <w:rsid w:val="00CE0D9E"/>
    <w:rsid w:val="00CE2EF2"/>
    <w:rsid w:val="00CE6FA2"/>
    <w:rsid w:val="00CF052D"/>
    <w:rsid w:val="00CF3DED"/>
    <w:rsid w:val="00CF43A2"/>
    <w:rsid w:val="00CF5EC9"/>
    <w:rsid w:val="00D003D2"/>
    <w:rsid w:val="00D23194"/>
    <w:rsid w:val="00D41869"/>
    <w:rsid w:val="00D41D7D"/>
    <w:rsid w:val="00D423EA"/>
    <w:rsid w:val="00D436DA"/>
    <w:rsid w:val="00D4576B"/>
    <w:rsid w:val="00D46C6D"/>
    <w:rsid w:val="00D4789B"/>
    <w:rsid w:val="00D51F49"/>
    <w:rsid w:val="00D542CC"/>
    <w:rsid w:val="00D57C9F"/>
    <w:rsid w:val="00D61154"/>
    <w:rsid w:val="00D618A8"/>
    <w:rsid w:val="00D66DF3"/>
    <w:rsid w:val="00D72DF1"/>
    <w:rsid w:val="00D75433"/>
    <w:rsid w:val="00D76C9A"/>
    <w:rsid w:val="00D81338"/>
    <w:rsid w:val="00D818AE"/>
    <w:rsid w:val="00D852E7"/>
    <w:rsid w:val="00D871F8"/>
    <w:rsid w:val="00D90438"/>
    <w:rsid w:val="00D972F1"/>
    <w:rsid w:val="00DA0E2D"/>
    <w:rsid w:val="00DA3BF0"/>
    <w:rsid w:val="00DA4999"/>
    <w:rsid w:val="00DA55D9"/>
    <w:rsid w:val="00DB03E5"/>
    <w:rsid w:val="00DB60BE"/>
    <w:rsid w:val="00DC0B1D"/>
    <w:rsid w:val="00DC16DA"/>
    <w:rsid w:val="00DC2318"/>
    <w:rsid w:val="00DC63A5"/>
    <w:rsid w:val="00DC71C1"/>
    <w:rsid w:val="00DD2708"/>
    <w:rsid w:val="00DD46A1"/>
    <w:rsid w:val="00DD70EE"/>
    <w:rsid w:val="00DE577A"/>
    <w:rsid w:val="00DE62FA"/>
    <w:rsid w:val="00DE639C"/>
    <w:rsid w:val="00DF0528"/>
    <w:rsid w:val="00DF114A"/>
    <w:rsid w:val="00DF1188"/>
    <w:rsid w:val="00DF37DB"/>
    <w:rsid w:val="00DF386A"/>
    <w:rsid w:val="00DF6DC6"/>
    <w:rsid w:val="00E00BC8"/>
    <w:rsid w:val="00E00CD9"/>
    <w:rsid w:val="00E018DB"/>
    <w:rsid w:val="00E0252D"/>
    <w:rsid w:val="00E02C15"/>
    <w:rsid w:val="00E037AB"/>
    <w:rsid w:val="00E06168"/>
    <w:rsid w:val="00E06903"/>
    <w:rsid w:val="00E104CD"/>
    <w:rsid w:val="00E133C3"/>
    <w:rsid w:val="00E13936"/>
    <w:rsid w:val="00E14F73"/>
    <w:rsid w:val="00E165AA"/>
    <w:rsid w:val="00E1756F"/>
    <w:rsid w:val="00E20672"/>
    <w:rsid w:val="00E20F8B"/>
    <w:rsid w:val="00E23EDE"/>
    <w:rsid w:val="00E240DC"/>
    <w:rsid w:val="00E2735A"/>
    <w:rsid w:val="00E32CF8"/>
    <w:rsid w:val="00E36628"/>
    <w:rsid w:val="00E36C7C"/>
    <w:rsid w:val="00E36E4B"/>
    <w:rsid w:val="00E36F0D"/>
    <w:rsid w:val="00E43432"/>
    <w:rsid w:val="00E4444E"/>
    <w:rsid w:val="00E450AC"/>
    <w:rsid w:val="00E45C41"/>
    <w:rsid w:val="00E50829"/>
    <w:rsid w:val="00E50E87"/>
    <w:rsid w:val="00E511D3"/>
    <w:rsid w:val="00E5294C"/>
    <w:rsid w:val="00E53D02"/>
    <w:rsid w:val="00E55120"/>
    <w:rsid w:val="00E65B1D"/>
    <w:rsid w:val="00E719FC"/>
    <w:rsid w:val="00E72AA1"/>
    <w:rsid w:val="00E731B3"/>
    <w:rsid w:val="00E735F1"/>
    <w:rsid w:val="00E737F9"/>
    <w:rsid w:val="00E73844"/>
    <w:rsid w:val="00E74F5A"/>
    <w:rsid w:val="00E77EE2"/>
    <w:rsid w:val="00E80F9C"/>
    <w:rsid w:val="00E82672"/>
    <w:rsid w:val="00E950A8"/>
    <w:rsid w:val="00E97BFA"/>
    <w:rsid w:val="00E97D9D"/>
    <w:rsid w:val="00EA1729"/>
    <w:rsid w:val="00EA291F"/>
    <w:rsid w:val="00EA3AD5"/>
    <w:rsid w:val="00EA61EB"/>
    <w:rsid w:val="00EB33A8"/>
    <w:rsid w:val="00EB4526"/>
    <w:rsid w:val="00EB5280"/>
    <w:rsid w:val="00EC255F"/>
    <w:rsid w:val="00ED1361"/>
    <w:rsid w:val="00ED2F8E"/>
    <w:rsid w:val="00EE0397"/>
    <w:rsid w:val="00EE491C"/>
    <w:rsid w:val="00EE5090"/>
    <w:rsid w:val="00EE5501"/>
    <w:rsid w:val="00EE5538"/>
    <w:rsid w:val="00EF11BA"/>
    <w:rsid w:val="00EF28D8"/>
    <w:rsid w:val="00EF42E5"/>
    <w:rsid w:val="00EF4D24"/>
    <w:rsid w:val="00EF5AD1"/>
    <w:rsid w:val="00EF6066"/>
    <w:rsid w:val="00EF7E27"/>
    <w:rsid w:val="00F03BD7"/>
    <w:rsid w:val="00F06A72"/>
    <w:rsid w:val="00F11B1F"/>
    <w:rsid w:val="00F13FD8"/>
    <w:rsid w:val="00F1538F"/>
    <w:rsid w:val="00F16B22"/>
    <w:rsid w:val="00F20122"/>
    <w:rsid w:val="00F20D53"/>
    <w:rsid w:val="00F25C9B"/>
    <w:rsid w:val="00F36008"/>
    <w:rsid w:val="00F377AE"/>
    <w:rsid w:val="00F4151B"/>
    <w:rsid w:val="00F45D59"/>
    <w:rsid w:val="00F475D1"/>
    <w:rsid w:val="00F50E3D"/>
    <w:rsid w:val="00F51E34"/>
    <w:rsid w:val="00F55EF7"/>
    <w:rsid w:val="00F5681B"/>
    <w:rsid w:val="00F56DA4"/>
    <w:rsid w:val="00F60287"/>
    <w:rsid w:val="00F60B96"/>
    <w:rsid w:val="00F62EE1"/>
    <w:rsid w:val="00F65632"/>
    <w:rsid w:val="00F66283"/>
    <w:rsid w:val="00F74790"/>
    <w:rsid w:val="00F8553F"/>
    <w:rsid w:val="00F85DDF"/>
    <w:rsid w:val="00F863CE"/>
    <w:rsid w:val="00F909CF"/>
    <w:rsid w:val="00F97CB9"/>
    <w:rsid w:val="00FA331F"/>
    <w:rsid w:val="00FA3CD8"/>
    <w:rsid w:val="00FA5804"/>
    <w:rsid w:val="00FB1663"/>
    <w:rsid w:val="00FB3CCC"/>
    <w:rsid w:val="00FB5BE6"/>
    <w:rsid w:val="00FC3095"/>
    <w:rsid w:val="00FC3E82"/>
    <w:rsid w:val="00FC6148"/>
    <w:rsid w:val="00FC6B85"/>
    <w:rsid w:val="00FD3122"/>
    <w:rsid w:val="00FD481E"/>
    <w:rsid w:val="00FD5674"/>
    <w:rsid w:val="00FD5E5D"/>
    <w:rsid w:val="00FF2F4E"/>
    <w:rsid w:val="00FF30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8ABD"/>
  <w15:docId w15:val="{9BCC32DB-8D06-4883-981B-68EF9DFE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BD7"/>
    <w:pPr>
      <w:autoSpaceDE w:val="0"/>
      <w:autoSpaceDN w:val="0"/>
      <w:bidi/>
      <w:spacing w:after="0" w:line="240" w:lineRule="auto"/>
    </w:pPr>
    <w:rPr>
      <w:rFonts w:ascii="Times New Roman" w:eastAsia="Times New Roman" w:hAnsi="Times New Roman" w:cs="Times New Roman"/>
      <w:sz w:val="24"/>
      <w:szCs w:val="24"/>
      <w:lang w:eastAsia="he-IL"/>
    </w:rPr>
  </w:style>
  <w:style w:type="paragraph" w:styleId="1">
    <w:name w:val="heading 1"/>
    <w:basedOn w:val="a"/>
    <w:next w:val="a"/>
    <w:link w:val="10"/>
    <w:qFormat/>
    <w:rsid w:val="00F03BD7"/>
    <w:pPr>
      <w:keepNext/>
      <w:jc w:val="right"/>
      <w:outlineLvl w:val="0"/>
    </w:pPr>
    <w:rPr>
      <w:b/>
      <w:bCs/>
      <w:u w:val="single"/>
    </w:rPr>
  </w:style>
  <w:style w:type="paragraph" w:styleId="3">
    <w:name w:val="heading 3"/>
    <w:basedOn w:val="a"/>
    <w:next w:val="a"/>
    <w:link w:val="30"/>
    <w:qFormat/>
    <w:rsid w:val="00F03BD7"/>
    <w:pPr>
      <w:keepNext/>
      <w:ind w:left="1980" w:right="2366"/>
      <w:jc w:val="right"/>
      <w:outlineLvl w:val="2"/>
    </w:pPr>
    <w:rPr>
      <w:b/>
      <w:bCs/>
    </w:rPr>
  </w:style>
  <w:style w:type="paragraph" w:styleId="4">
    <w:name w:val="heading 4"/>
    <w:basedOn w:val="a"/>
    <w:next w:val="a"/>
    <w:link w:val="40"/>
    <w:qFormat/>
    <w:rsid w:val="00F03BD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F03BD7"/>
    <w:rPr>
      <w:rFonts w:ascii="Times New Roman" w:eastAsia="Times New Roman" w:hAnsi="Times New Roman" w:cs="Times New Roman"/>
      <w:b/>
      <w:bCs/>
      <w:sz w:val="24"/>
      <w:szCs w:val="24"/>
      <w:u w:val="single"/>
      <w:lang w:eastAsia="he-IL"/>
    </w:rPr>
  </w:style>
  <w:style w:type="character" w:customStyle="1" w:styleId="30">
    <w:name w:val="כותרת 3 תו"/>
    <w:basedOn w:val="a0"/>
    <w:link w:val="3"/>
    <w:rsid w:val="00F03BD7"/>
    <w:rPr>
      <w:rFonts w:ascii="Times New Roman" w:eastAsia="Times New Roman" w:hAnsi="Times New Roman" w:cs="Times New Roman"/>
      <w:b/>
      <w:bCs/>
      <w:sz w:val="24"/>
      <w:szCs w:val="24"/>
      <w:lang w:eastAsia="he-IL"/>
    </w:rPr>
  </w:style>
  <w:style w:type="character" w:customStyle="1" w:styleId="40">
    <w:name w:val="כותרת 4 תו"/>
    <w:basedOn w:val="a0"/>
    <w:link w:val="4"/>
    <w:rsid w:val="00F03BD7"/>
    <w:rPr>
      <w:rFonts w:ascii="Times New Roman" w:eastAsia="Times New Roman" w:hAnsi="Times New Roman" w:cs="Times New Roman"/>
      <w:b/>
      <w:bCs/>
      <w:sz w:val="28"/>
      <w:szCs w:val="28"/>
      <w:lang w:eastAsia="he-IL"/>
    </w:rPr>
  </w:style>
  <w:style w:type="paragraph" w:styleId="a3">
    <w:name w:val="List Paragraph"/>
    <w:aliases w:val="פיסקת bullets"/>
    <w:basedOn w:val="a"/>
    <w:link w:val="a4"/>
    <w:uiPriority w:val="34"/>
    <w:qFormat/>
    <w:rsid w:val="00F03BD7"/>
    <w:pPr>
      <w:ind w:left="720"/>
      <w:contextualSpacing/>
    </w:pPr>
  </w:style>
  <w:style w:type="character" w:customStyle="1" w:styleId="a4">
    <w:name w:val="פיסקת רשימה תו"/>
    <w:aliases w:val="פיסקת bullets תו"/>
    <w:link w:val="a3"/>
    <w:uiPriority w:val="34"/>
    <w:locked/>
    <w:rsid w:val="00F03BD7"/>
    <w:rPr>
      <w:rFonts w:ascii="Times New Roman" w:eastAsia="Times New Roman" w:hAnsi="Times New Roman" w:cs="Times New Roman"/>
      <w:sz w:val="24"/>
      <w:szCs w:val="24"/>
      <w:lang w:eastAsia="he-IL"/>
    </w:rPr>
  </w:style>
  <w:style w:type="paragraph" w:customStyle="1" w:styleId="font8">
    <w:name w:val="font_8"/>
    <w:basedOn w:val="a"/>
    <w:rsid w:val="00F03BD7"/>
    <w:pPr>
      <w:autoSpaceDE/>
      <w:autoSpaceDN/>
      <w:bidi w:val="0"/>
      <w:spacing w:before="100" w:beforeAutospacing="1" w:after="100" w:afterAutospacing="1"/>
    </w:pPr>
    <w:rPr>
      <w:lang w:eastAsia="en-US"/>
    </w:rPr>
  </w:style>
  <w:style w:type="character" w:styleId="Hyperlink">
    <w:name w:val="Hyperlink"/>
    <w:basedOn w:val="a0"/>
    <w:unhideWhenUsed/>
    <w:rsid w:val="00F03BD7"/>
    <w:rPr>
      <w:color w:val="0000FF"/>
      <w:u w:val="single"/>
    </w:rPr>
  </w:style>
  <w:style w:type="character" w:styleId="a5">
    <w:name w:val="annotation reference"/>
    <w:basedOn w:val="a0"/>
    <w:uiPriority w:val="99"/>
    <w:semiHidden/>
    <w:unhideWhenUsed/>
    <w:rsid w:val="00F03BD7"/>
    <w:rPr>
      <w:sz w:val="16"/>
      <w:szCs w:val="16"/>
    </w:rPr>
  </w:style>
  <w:style w:type="paragraph" w:styleId="a6">
    <w:name w:val="annotation text"/>
    <w:basedOn w:val="a"/>
    <w:link w:val="a7"/>
    <w:uiPriority w:val="99"/>
    <w:semiHidden/>
    <w:unhideWhenUsed/>
    <w:rsid w:val="00F03BD7"/>
    <w:rPr>
      <w:sz w:val="20"/>
      <w:szCs w:val="20"/>
    </w:rPr>
  </w:style>
  <w:style w:type="character" w:customStyle="1" w:styleId="a7">
    <w:name w:val="טקסט הערה תו"/>
    <w:basedOn w:val="a0"/>
    <w:link w:val="a6"/>
    <w:uiPriority w:val="99"/>
    <w:semiHidden/>
    <w:rsid w:val="00F03BD7"/>
    <w:rPr>
      <w:rFonts w:ascii="Times New Roman" w:eastAsia="Times New Roman" w:hAnsi="Times New Roman" w:cs="Times New Roman"/>
      <w:sz w:val="20"/>
      <w:szCs w:val="20"/>
      <w:lang w:eastAsia="he-IL"/>
    </w:rPr>
  </w:style>
  <w:style w:type="paragraph" w:styleId="a8">
    <w:name w:val="annotation subject"/>
    <w:basedOn w:val="a6"/>
    <w:next w:val="a6"/>
    <w:link w:val="a9"/>
    <w:uiPriority w:val="99"/>
    <w:semiHidden/>
    <w:unhideWhenUsed/>
    <w:rsid w:val="00F03BD7"/>
    <w:rPr>
      <w:b/>
      <w:bCs/>
    </w:rPr>
  </w:style>
  <w:style w:type="character" w:customStyle="1" w:styleId="a9">
    <w:name w:val="נושא הערה תו"/>
    <w:basedOn w:val="a7"/>
    <w:link w:val="a8"/>
    <w:uiPriority w:val="99"/>
    <w:semiHidden/>
    <w:rsid w:val="00F03BD7"/>
    <w:rPr>
      <w:rFonts w:ascii="Times New Roman" w:eastAsia="Times New Roman" w:hAnsi="Times New Roman" w:cs="Times New Roman"/>
      <w:b/>
      <w:bCs/>
      <w:sz w:val="20"/>
      <w:szCs w:val="20"/>
      <w:lang w:eastAsia="he-IL"/>
    </w:rPr>
  </w:style>
  <w:style w:type="paragraph" w:styleId="aa">
    <w:name w:val="Balloon Text"/>
    <w:basedOn w:val="a"/>
    <w:link w:val="ab"/>
    <w:semiHidden/>
    <w:unhideWhenUsed/>
    <w:rsid w:val="00F03BD7"/>
    <w:rPr>
      <w:rFonts w:ascii="Tahoma" w:hAnsi="Tahoma" w:cs="Tahoma"/>
      <w:sz w:val="18"/>
      <w:szCs w:val="18"/>
    </w:rPr>
  </w:style>
  <w:style w:type="character" w:customStyle="1" w:styleId="ab">
    <w:name w:val="טקסט בלונים תו"/>
    <w:basedOn w:val="a0"/>
    <w:link w:val="aa"/>
    <w:uiPriority w:val="99"/>
    <w:semiHidden/>
    <w:rsid w:val="00F03BD7"/>
    <w:rPr>
      <w:rFonts w:ascii="Tahoma" w:eastAsia="Times New Roman" w:hAnsi="Tahoma" w:cs="Tahoma"/>
      <w:sz w:val="18"/>
      <w:szCs w:val="18"/>
      <w:lang w:eastAsia="he-IL"/>
    </w:rPr>
  </w:style>
  <w:style w:type="paragraph" w:styleId="ac">
    <w:name w:val="Block Text"/>
    <w:basedOn w:val="a"/>
    <w:rsid w:val="00F03BD7"/>
    <w:pPr>
      <w:autoSpaceDE/>
      <w:autoSpaceDN/>
      <w:spacing w:line="312" w:lineRule="exact"/>
      <w:ind w:left="800" w:right="800" w:hanging="20"/>
    </w:pPr>
    <w:rPr>
      <w:rFonts w:cs="David"/>
    </w:rPr>
  </w:style>
  <w:style w:type="paragraph" w:styleId="ad">
    <w:name w:val="Body Text"/>
    <w:basedOn w:val="a"/>
    <w:link w:val="ae"/>
    <w:rsid w:val="00F03BD7"/>
    <w:pPr>
      <w:autoSpaceDE/>
      <w:autoSpaceDN/>
      <w:jc w:val="both"/>
    </w:pPr>
    <w:rPr>
      <w:rFonts w:cs="David"/>
    </w:rPr>
  </w:style>
  <w:style w:type="character" w:customStyle="1" w:styleId="ae">
    <w:name w:val="גוף טקסט תו"/>
    <w:basedOn w:val="a0"/>
    <w:link w:val="ad"/>
    <w:rsid w:val="00F03BD7"/>
    <w:rPr>
      <w:rFonts w:ascii="Times New Roman" w:eastAsia="Times New Roman" w:hAnsi="Times New Roman" w:cs="David"/>
      <w:sz w:val="24"/>
      <w:szCs w:val="24"/>
      <w:lang w:eastAsia="he-IL"/>
    </w:rPr>
  </w:style>
  <w:style w:type="paragraph" w:styleId="2">
    <w:name w:val="Body Text 2"/>
    <w:basedOn w:val="a"/>
    <w:link w:val="20"/>
    <w:rsid w:val="00F03BD7"/>
    <w:pPr>
      <w:autoSpaceDE/>
      <w:autoSpaceDN/>
      <w:spacing w:after="120" w:line="480" w:lineRule="auto"/>
    </w:pPr>
    <w:rPr>
      <w:rFonts w:ascii="Arial" w:hAnsi="Arial"/>
    </w:rPr>
  </w:style>
  <w:style w:type="character" w:customStyle="1" w:styleId="20">
    <w:name w:val="גוף טקסט 2 תו"/>
    <w:basedOn w:val="a0"/>
    <w:link w:val="2"/>
    <w:rsid w:val="00F03BD7"/>
    <w:rPr>
      <w:rFonts w:ascii="Arial" w:eastAsia="Times New Roman" w:hAnsi="Arial" w:cs="Times New Roman"/>
      <w:sz w:val="24"/>
      <w:szCs w:val="24"/>
      <w:lang w:eastAsia="he-IL"/>
    </w:rPr>
  </w:style>
  <w:style w:type="paragraph" w:styleId="af">
    <w:name w:val="Quote"/>
    <w:basedOn w:val="a"/>
    <w:link w:val="af0"/>
    <w:autoRedefine/>
    <w:qFormat/>
    <w:rsid w:val="00F03BD7"/>
    <w:pPr>
      <w:tabs>
        <w:tab w:val="left" w:pos="7015"/>
        <w:tab w:val="left" w:pos="7200"/>
      </w:tabs>
      <w:autoSpaceDE/>
      <w:autoSpaceDN/>
      <w:spacing w:before="120" w:after="120"/>
      <w:ind w:left="1287" w:right="1259"/>
      <w:jc w:val="both"/>
    </w:pPr>
    <w:rPr>
      <w:rFonts w:cs="David"/>
      <w:sz w:val="22"/>
      <w:szCs w:val="22"/>
      <w:lang w:eastAsia="en-US"/>
    </w:rPr>
  </w:style>
  <w:style w:type="character" w:customStyle="1" w:styleId="af0">
    <w:name w:val="ציטוט תו"/>
    <w:basedOn w:val="a0"/>
    <w:link w:val="af"/>
    <w:rsid w:val="00F03BD7"/>
    <w:rPr>
      <w:rFonts w:ascii="Times New Roman" w:eastAsia="Times New Roman" w:hAnsi="Times New Roman" w:cs="David"/>
    </w:rPr>
  </w:style>
  <w:style w:type="paragraph" w:styleId="af1">
    <w:name w:val="Body Text Indent"/>
    <w:basedOn w:val="a"/>
    <w:link w:val="af2"/>
    <w:uiPriority w:val="99"/>
    <w:semiHidden/>
    <w:unhideWhenUsed/>
    <w:rsid w:val="00F03BD7"/>
    <w:pPr>
      <w:spacing w:after="120"/>
      <w:ind w:left="283"/>
    </w:pPr>
  </w:style>
  <w:style w:type="character" w:customStyle="1" w:styleId="af2">
    <w:name w:val="כניסה בגוף טקסט תו"/>
    <w:basedOn w:val="a0"/>
    <w:link w:val="af1"/>
    <w:uiPriority w:val="99"/>
    <w:semiHidden/>
    <w:rsid w:val="00F03BD7"/>
    <w:rPr>
      <w:rFonts w:ascii="Times New Roman" w:eastAsia="Times New Roman" w:hAnsi="Times New Roman" w:cs="Times New Roman"/>
      <w:sz w:val="24"/>
      <w:szCs w:val="24"/>
      <w:lang w:eastAsia="he-IL"/>
    </w:rPr>
  </w:style>
  <w:style w:type="paragraph" w:styleId="af3">
    <w:name w:val="footnote text"/>
    <w:basedOn w:val="a"/>
    <w:link w:val="af4"/>
    <w:uiPriority w:val="99"/>
    <w:semiHidden/>
    <w:unhideWhenUsed/>
    <w:rsid w:val="00F03BD7"/>
    <w:rPr>
      <w:sz w:val="20"/>
      <w:szCs w:val="20"/>
    </w:rPr>
  </w:style>
  <w:style w:type="character" w:customStyle="1" w:styleId="af4">
    <w:name w:val="טקסט הערת שוליים תו"/>
    <w:basedOn w:val="a0"/>
    <w:link w:val="af3"/>
    <w:uiPriority w:val="99"/>
    <w:semiHidden/>
    <w:rsid w:val="00F03BD7"/>
    <w:rPr>
      <w:rFonts w:ascii="Times New Roman" w:eastAsia="Times New Roman" w:hAnsi="Times New Roman" w:cs="Times New Roman"/>
      <w:sz w:val="20"/>
      <w:szCs w:val="20"/>
      <w:lang w:eastAsia="he-IL"/>
    </w:rPr>
  </w:style>
  <w:style w:type="character" w:styleId="af5">
    <w:name w:val="footnote reference"/>
    <w:basedOn w:val="a0"/>
    <w:uiPriority w:val="99"/>
    <w:semiHidden/>
    <w:unhideWhenUsed/>
    <w:rsid w:val="00F03BD7"/>
    <w:rPr>
      <w:vertAlign w:val="superscript"/>
    </w:rPr>
  </w:style>
  <w:style w:type="paragraph" w:styleId="af6">
    <w:name w:val="header"/>
    <w:basedOn w:val="a"/>
    <w:link w:val="af7"/>
    <w:uiPriority w:val="99"/>
    <w:unhideWhenUsed/>
    <w:rsid w:val="00A96B46"/>
    <w:pPr>
      <w:tabs>
        <w:tab w:val="center" w:pos="4153"/>
        <w:tab w:val="right" w:pos="8306"/>
      </w:tabs>
    </w:pPr>
  </w:style>
  <w:style w:type="character" w:customStyle="1" w:styleId="af7">
    <w:name w:val="כותרת עליונה תו"/>
    <w:basedOn w:val="a0"/>
    <w:link w:val="af6"/>
    <w:uiPriority w:val="99"/>
    <w:rsid w:val="00A96B46"/>
    <w:rPr>
      <w:rFonts w:ascii="Times New Roman" w:eastAsia="Times New Roman" w:hAnsi="Times New Roman" w:cs="Times New Roman"/>
      <w:sz w:val="24"/>
      <w:szCs w:val="24"/>
      <w:lang w:eastAsia="he-IL"/>
    </w:rPr>
  </w:style>
  <w:style w:type="paragraph" w:styleId="af8">
    <w:name w:val="footer"/>
    <w:basedOn w:val="a"/>
    <w:link w:val="af9"/>
    <w:uiPriority w:val="99"/>
    <w:unhideWhenUsed/>
    <w:rsid w:val="00A96B46"/>
    <w:pPr>
      <w:tabs>
        <w:tab w:val="center" w:pos="4153"/>
        <w:tab w:val="right" w:pos="8306"/>
      </w:tabs>
    </w:pPr>
  </w:style>
  <w:style w:type="character" w:customStyle="1" w:styleId="af9">
    <w:name w:val="כותרת תחתונה תו"/>
    <w:basedOn w:val="a0"/>
    <w:link w:val="af8"/>
    <w:uiPriority w:val="99"/>
    <w:rsid w:val="00A96B46"/>
    <w:rPr>
      <w:rFonts w:ascii="Times New Roman" w:eastAsia="Times New Roman" w:hAnsi="Times New Roman" w:cs="Times New Roman"/>
      <w:sz w:val="24"/>
      <w:szCs w:val="24"/>
      <w:lang w:eastAsia="he-IL"/>
    </w:rPr>
  </w:style>
  <w:style w:type="paragraph" w:styleId="afa">
    <w:name w:val="Revision"/>
    <w:hidden/>
    <w:uiPriority w:val="99"/>
    <w:semiHidden/>
    <w:rsid w:val="00D436DA"/>
    <w:pPr>
      <w:spacing w:after="0" w:line="240" w:lineRule="auto"/>
    </w:pPr>
    <w:rPr>
      <w:rFonts w:ascii="Times New Roman" w:eastAsia="Times New Roman" w:hAnsi="Times New Roman" w:cs="Times New Roman"/>
      <w:sz w:val="24"/>
      <w:szCs w:val="24"/>
      <w:lang w:eastAsia="he-IL"/>
    </w:rPr>
  </w:style>
  <w:style w:type="character" w:styleId="FollowedHyperlink">
    <w:name w:val="FollowedHyperlink"/>
    <w:basedOn w:val="a0"/>
    <w:uiPriority w:val="99"/>
    <w:semiHidden/>
    <w:unhideWhenUsed/>
    <w:rsid w:val="001659B3"/>
    <w:rPr>
      <w:color w:val="954F72" w:themeColor="followedHyperlink"/>
      <w:u w:val="single"/>
    </w:rPr>
  </w:style>
  <w:style w:type="table" w:styleId="afb">
    <w:name w:val="Table Grid"/>
    <w:basedOn w:val="a1"/>
    <w:uiPriority w:val="39"/>
    <w:rsid w:val="00E95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E133C3"/>
    <w:pPr>
      <w:autoSpaceDE/>
      <w:autoSpaceDN/>
      <w:bidi w:val="0"/>
      <w:spacing w:before="100" w:beforeAutospacing="1" w:after="100" w:afterAutospacing="1"/>
    </w:pPr>
    <w:rPr>
      <w:lang w:eastAsia="en-US"/>
    </w:rPr>
  </w:style>
  <w:style w:type="character" w:styleId="afc">
    <w:name w:val="Strong"/>
    <w:basedOn w:val="a0"/>
    <w:uiPriority w:val="22"/>
    <w:qFormat/>
    <w:rsid w:val="00E133C3"/>
    <w:rPr>
      <w:b/>
      <w:bCs/>
    </w:rPr>
  </w:style>
  <w:style w:type="character" w:customStyle="1" w:styleId="Ruller4">
    <w:name w:val="Ruller4 תו"/>
    <w:link w:val="Ruller40"/>
    <w:locked/>
    <w:rsid w:val="00DF37DB"/>
    <w:rPr>
      <w:rFonts w:ascii="Arial TUR" w:hAnsi="Arial TUR" w:cs="FrankRuehl"/>
      <w:spacing w:val="10"/>
      <w:szCs w:val="28"/>
    </w:rPr>
  </w:style>
  <w:style w:type="paragraph" w:customStyle="1" w:styleId="Ruller40">
    <w:name w:val="Ruller4"/>
    <w:basedOn w:val="a"/>
    <w:link w:val="Ruller4"/>
    <w:rsid w:val="00DF37DB"/>
    <w:pPr>
      <w:tabs>
        <w:tab w:val="left" w:pos="800"/>
      </w:tabs>
      <w:overflowPunct w:val="0"/>
      <w:adjustRightInd w:val="0"/>
      <w:spacing w:line="360" w:lineRule="auto"/>
      <w:jc w:val="both"/>
    </w:pPr>
    <w:rPr>
      <w:rFonts w:ascii="Arial TUR" w:eastAsiaTheme="minorHAnsi" w:hAnsi="Arial TUR" w:cs="FrankRuehl"/>
      <w:spacing w:val="10"/>
      <w:sz w:val="22"/>
      <w:szCs w:val="28"/>
      <w:lang w:eastAsia="en-US"/>
    </w:rPr>
  </w:style>
  <w:style w:type="paragraph" w:customStyle="1" w:styleId="Ruller5">
    <w:name w:val="Ruller5"/>
    <w:basedOn w:val="a"/>
    <w:link w:val="Ruller50"/>
    <w:rsid w:val="00DF37DB"/>
    <w:pPr>
      <w:overflowPunct w:val="0"/>
      <w:adjustRightInd w:val="0"/>
      <w:ind w:left="1642" w:right="1282"/>
      <w:jc w:val="both"/>
    </w:pPr>
    <w:rPr>
      <w:rFonts w:ascii="Arial TUR" w:hAnsi="Arial TUR" w:cs="FrankRuehl"/>
      <w:spacing w:val="10"/>
      <w:sz w:val="22"/>
      <w:szCs w:val="28"/>
      <w:lang w:eastAsia="en-US"/>
    </w:rPr>
  </w:style>
  <w:style w:type="paragraph" w:customStyle="1" w:styleId="ruller41">
    <w:name w:val="ruller4"/>
    <w:basedOn w:val="a"/>
    <w:rsid w:val="00046F5A"/>
    <w:pPr>
      <w:autoSpaceDE/>
      <w:autoSpaceDN/>
      <w:bidi w:val="0"/>
      <w:spacing w:before="100" w:beforeAutospacing="1" w:after="100" w:afterAutospacing="1"/>
    </w:pPr>
    <w:rPr>
      <w:lang w:eastAsia="en-US"/>
    </w:rPr>
  </w:style>
  <w:style w:type="character" w:customStyle="1" w:styleId="Ruller50">
    <w:name w:val="Ruller5 תו"/>
    <w:basedOn w:val="a0"/>
    <w:link w:val="Ruller5"/>
    <w:locked/>
    <w:rsid w:val="00EF6066"/>
    <w:rPr>
      <w:rFonts w:ascii="Arial TUR" w:eastAsia="Times New Roman" w:hAnsi="Arial TUR" w:cs="FrankRuehl"/>
      <w:spacing w:val="10"/>
      <w:szCs w:val="28"/>
    </w:rPr>
  </w:style>
  <w:style w:type="paragraph" w:customStyle="1" w:styleId="21">
    <w:name w:val="סגנון2"/>
    <w:basedOn w:val="Ruller40"/>
    <w:autoRedefine/>
    <w:rsid w:val="00EF6066"/>
    <w:pPr>
      <w:overflowPunct/>
      <w:autoSpaceDE/>
      <w:autoSpaceDN/>
      <w:adjustRightInd/>
    </w:pPr>
    <w:rPr>
      <w:rFonts w:eastAsia="Times New Roman"/>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0456">
      <w:bodyDiv w:val="1"/>
      <w:marLeft w:val="0"/>
      <w:marRight w:val="0"/>
      <w:marTop w:val="0"/>
      <w:marBottom w:val="0"/>
      <w:divBdr>
        <w:top w:val="none" w:sz="0" w:space="0" w:color="auto"/>
        <w:left w:val="none" w:sz="0" w:space="0" w:color="auto"/>
        <w:bottom w:val="none" w:sz="0" w:space="0" w:color="auto"/>
        <w:right w:val="none" w:sz="0" w:space="0" w:color="auto"/>
      </w:divBdr>
    </w:div>
    <w:div w:id="263655292">
      <w:bodyDiv w:val="1"/>
      <w:marLeft w:val="0"/>
      <w:marRight w:val="0"/>
      <w:marTop w:val="0"/>
      <w:marBottom w:val="0"/>
      <w:divBdr>
        <w:top w:val="none" w:sz="0" w:space="0" w:color="auto"/>
        <w:left w:val="none" w:sz="0" w:space="0" w:color="auto"/>
        <w:bottom w:val="none" w:sz="0" w:space="0" w:color="auto"/>
        <w:right w:val="none" w:sz="0" w:space="0" w:color="auto"/>
      </w:divBdr>
    </w:div>
    <w:div w:id="351496759">
      <w:bodyDiv w:val="1"/>
      <w:marLeft w:val="0"/>
      <w:marRight w:val="0"/>
      <w:marTop w:val="0"/>
      <w:marBottom w:val="0"/>
      <w:divBdr>
        <w:top w:val="none" w:sz="0" w:space="0" w:color="auto"/>
        <w:left w:val="none" w:sz="0" w:space="0" w:color="auto"/>
        <w:bottom w:val="none" w:sz="0" w:space="0" w:color="auto"/>
        <w:right w:val="none" w:sz="0" w:space="0" w:color="auto"/>
      </w:divBdr>
    </w:div>
    <w:div w:id="419377342">
      <w:bodyDiv w:val="1"/>
      <w:marLeft w:val="0"/>
      <w:marRight w:val="0"/>
      <w:marTop w:val="0"/>
      <w:marBottom w:val="0"/>
      <w:divBdr>
        <w:top w:val="none" w:sz="0" w:space="0" w:color="auto"/>
        <w:left w:val="none" w:sz="0" w:space="0" w:color="auto"/>
        <w:bottom w:val="none" w:sz="0" w:space="0" w:color="auto"/>
        <w:right w:val="none" w:sz="0" w:space="0" w:color="auto"/>
      </w:divBdr>
    </w:div>
    <w:div w:id="572475775">
      <w:bodyDiv w:val="1"/>
      <w:marLeft w:val="0"/>
      <w:marRight w:val="0"/>
      <w:marTop w:val="0"/>
      <w:marBottom w:val="0"/>
      <w:divBdr>
        <w:top w:val="none" w:sz="0" w:space="0" w:color="auto"/>
        <w:left w:val="none" w:sz="0" w:space="0" w:color="auto"/>
        <w:bottom w:val="none" w:sz="0" w:space="0" w:color="auto"/>
        <w:right w:val="none" w:sz="0" w:space="0" w:color="auto"/>
      </w:divBdr>
    </w:div>
    <w:div w:id="1021862389">
      <w:bodyDiv w:val="1"/>
      <w:marLeft w:val="0"/>
      <w:marRight w:val="0"/>
      <w:marTop w:val="0"/>
      <w:marBottom w:val="0"/>
      <w:divBdr>
        <w:top w:val="none" w:sz="0" w:space="0" w:color="auto"/>
        <w:left w:val="none" w:sz="0" w:space="0" w:color="auto"/>
        <w:bottom w:val="none" w:sz="0" w:space="0" w:color="auto"/>
        <w:right w:val="none" w:sz="0" w:space="0" w:color="auto"/>
      </w:divBdr>
    </w:div>
    <w:div w:id="1516113785">
      <w:bodyDiv w:val="1"/>
      <w:marLeft w:val="0"/>
      <w:marRight w:val="0"/>
      <w:marTop w:val="0"/>
      <w:marBottom w:val="0"/>
      <w:divBdr>
        <w:top w:val="none" w:sz="0" w:space="0" w:color="auto"/>
        <w:left w:val="none" w:sz="0" w:space="0" w:color="auto"/>
        <w:bottom w:val="none" w:sz="0" w:space="0" w:color="auto"/>
        <w:right w:val="none" w:sz="0" w:space="0" w:color="auto"/>
      </w:divBdr>
    </w:div>
    <w:div w:id="1798528116">
      <w:bodyDiv w:val="1"/>
      <w:marLeft w:val="0"/>
      <w:marRight w:val="0"/>
      <w:marTop w:val="0"/>
      <w:marBottom w:val="0"/>
      <w:divBdr>
        <w:top w:val="none" w:sz="0" w:space="0" w:color="auto"/>
        <w:left w:val="none" w:sz="0" w:space="0" w:color="auto"/>
        <w:bottom w:val="none" w:sz="0" w:space="0" w:color="auto"/>
        <w:right w:val="none" w:sz="0" w:space="0" w:color="auto"/>
      </w:divBdr>
    </w:div>
    <w:div w:id="1823497021">
      <w:bodyDiv w:val="1"/>
      <w:marLeft w:val="0"/>
      <w:marRight w:val="0"/>
      <w:marTop w:val="0"/>
      <w:marBottom w:val="0"/>
      <w:divBdr>
        <w:top w:val="none" w:sz="0" w:space="0" w:color="auto"/>
        <w:left w:val="none" w:sz="0" w:space="0" w:color="auto"/>
        <w:bottom w:val="none" w:sz="0" w:space="0" w:color="auto"/>
        <w:right w:val="none" w:sz="0" w:space="0" w:color="auto"/>
      </w:divBdr>
    </w:div>
    <w:div w:id="189919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nevo.co.il.rproxy.tau.ac.il/links/psika/?link=%FA%EE%F9%2047720/06" TargetMode="External"/><Relationship Id="rId26" Type="http://schemas.openxmlformats.org/officeDocument/2006/relationships/hyperlink" Target="http://www.nevo.co.il/case/17929310" TargetMode="External"/><Relationship Id="rId3" Type="http://schemas.openxmlformats.org/officeDocument/2006/relationships/styles" Target="styles.xml"/><Relationship Id="rId21" Type="http://schemas.openxmlformats.org/officeDocument/2006/relationships/hyperlink" Target="http://www.nevo.co.il/law/72231"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evo.co.il/law/70296" TargetMode="External"/><Relationship Id="rId25" Type="http://schemas.openxmlformats.org/officeDocument/2006/relationships/hyperlink" Target="http://www.nevo.co.il/law/70320"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nevo.co.il/case/6052408" TargetMode="External"/><Relationship Id="rId20" Type="http://schemas.openxmlformats.org/officeDocument/2006/relationships/hyperlink" Target="http://www.nevo.co.il/safrut/book/11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evo.co.il/law/70320" TargetMode="External"/><Relationship Id="rId5" Type="http://schemas.openxmlformats.org/officeDocument/2006/relationships/webSettings" Target="webSettings.xml"/><Relationship Id="rId15" Type="http://schemas.openxmlformats.org/officeDocument/2006/relationships/hyperlink" Target="http://www.nevo.co.il/law/98645" TargetMode="External"/><Relationship Id="rId23" Type="http://schemas.openxmlformats.org/officeDocument/2006/relationships/hyperlink" Target="http://www.nevo.co.il/law/70320/8" TargetMode="External"/><Relationship Id="rId28"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www.nevo.co.il/case/57216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evo.co.il/law/4355" TargetMode="External"/><Relationship Id="rId22" Type="http://schemas.openxmlformats.org/officeDocument/2006/relationships/hyperlink" Target="http://www.nevo.co.il/law_html/law01/P233_001.htm" TargetMode="External"/><Relationship Id="rId27"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twitter.com/segev_yuval/status/1285536834039296000" TargetMode="External"/><Relationship Id="rId2" Type="http://schemas.openxmlformats.org/officeDocument/2006/relationships/hyperlink" Target="https://wedding-jerusalem.forms-wizard.biz/" TargetMode="External"/><Relationship Id="rId1" Type="http://schemas.openxmlformats.org/officeDocument/2006/relationships/hyperlink" Target="https://www.kolhair.co.il/jerusalem-news/134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6C52D1D1208244B710AB6936490628" ma:contentTypeVersion="16" ma:contentTypeDescription="Create a new document." ma:contentTypeScope="" ma:versionID="99179de5ace1fb3710069e48f1251869">
  <xsd:schema xmlns:xsd="http://www.w3.org/2001/XMLSchema" xmlns:xs="http://www.w3.org/2001/XMLSchema" xmlns:p="http://schemas.microsoft.com/office/2006/metadata/properties" xmlns:ns2="1d955b5a-f623-46d9-8199-4876af12a054" xmlns:ns3="7a4a36dc-db8c-46af-b1d9-4eaaa8b55104" targetNamespace="http://schemas.microsoft.com/office/2006/metadata/properties" ma:root="true" ma:fieldsID="dbc6038ca605401fbaf826df728342b2" ns2:_="" ns3:_="">
    <xsd:import namespace="1d955b5a-f623-46d9-8199-4876af12a054"/>
    <xsd:import namespace="7a4a36dc-db8c-46af-b1d9-4eaaa8b551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55b5a-f623-46d9-8199-4876af12a0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69874f-f350-476e-af63-ca02846facd4}" ma:internalName="TaxCatchAll" ma:showField="CatchAllData" ma:web="1d955b5a-f623-46d9-8199-4876af12a0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4a36dc-db8c-46af-b1d9-4eaaa8b551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53a7b-36c8-4997-8c49-fa9be16374c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4a36dc-db8c-46af-b1d9-4eaaa8b55104">
      <Terms xmlns="http://schemas.microsoft.com/office/infopath/2007/PartnerControls"/>
    </lcf76f155ced4ddcb4097134ff3c332f>
    <TaxCatchAll xmlns="1d955b5a-f623-46d9-8199-4876af12a054" xsi:nil="true"/>
  </documentManagement>
</p:properties>
</file>

<file path=customXml/itemProps1.xml><?xml version="1.0" encoding="utf-8"?>
<ds:datastoreItem xmlns:ds="http://schemas.openxmlformats.org/officeDocument/2006/customXml" ds:itemID="{6DAB4736-42E2-49AE-9B15-E41883CEBEB5}">
  <ds:schemaRefs>
    <ds:schemaRef ds:uri="http://schemas.openxmlformats.org/officeDocument/2006/bibliography"/>
  </ds:schemaRefs>
</ds:datastoreItem>
</file>

<file path=customXml/itemProps2.xml><?xml version="1.0" encoding="utf-8"?>
<ds:datastoreItem xmlns:ds="http://schemas.openxmlformats.org/officeDocument/2006/customXml" ds:itemID="{F1D825EA-3264-4DC4-AB63-AA9F88BC0279}"/>
</file>

<file path=customXml/itemProps3.xml><?xml version="1.0" encoding="utf-8"?>
<ds:datastoreItem xmlns:ds="http://schemas.openxmlformats.org/officeDocument/2006/customXml" ds:itemID="{C0295D9D-CC8B-44E3-917F-99C083CE4C3B}"/>
</file>

<file path=customXml/itemProps4.xml><?xml version="1.0" encoding="utf-8"?>
<ds:datastoreItem xmlns:ds="http://schemas.openxmlformats.org/officeDocument/2006/customXml" ds:itemID="{BC20AB06-A66A-4780-9B29-956D98C7B5CC}"/>
</file>

<file path=docProps/app.xml><?xml version="1.0" encoding="utf-8"?>
<Properties xmlns="http://schemas.openxmlformats.org/officeDocument/2006/extended-properties" xmlns:vt="http://schemas.openxmlformats.org/officeDocument/2006/docPropsVTypes">
  <Template>Normal</Template>
  <TotalTime>118</TotalTime>
  <Pages>30</Pages>
  <Words>9559</Words>
  <Characters>47798</Characters>
  <Application>Microsoft Office Word</Application>
  <DocSecurity>0</DocSecurity>
  <Lines>398</Lines>
  <Paragraphs>114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 Nachmias</dc:creator>
  <cp:lastModifiedBy>Orly  Erez. Likhovski</cp:lastModifiedBy>
  <cp:revision>7</cp:revision>
  <cp:lastPrinted>2020-08-02T11:55:00Z</cp:lastPrinted>
  <dcterms:created xsi:type="dcterms:W3CDTF">2020-08-02T11:43:00Z</dcterms:created>
  <dcterms:modified xsi:type="dcterms:W3CDTF">2020-08-02T13:49:00Z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0x010100A76C52D1D1208244B710AB6936490628</vt:lpwstr>
  </property>
  <property fmtid="{D5CDD505-2E9C-101B-9397-08002B2CF9AE}" pid="3" name="MediaServiceImageTags">
    <vt:lpwstr/>
  </property>
</Properties>
</file>