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14" w:rsidRPr="001D7814" w:rsidRDefault="001D7814" w:rsidP="001D7814">
      <w:pPr>
        <w:overflowPunct w:val="0"/>
        <w:autoSpaceDE w:val="0"/>
        <w:autoSpaceDN w:val="0"/>
        <w:spacing w:after="0" w:line="240" w:lineRule="auto"/>
        <w:jc w:val="right"/>
        <w:rPr>
          <w:rFonts w:ascii="Times New Roman" w:eastAsia="Times New Roman" w:hAnsi="Times New Roman" w:cs="Times New Roman"/>
          <w:sz w:val="20"/>
          <w:szCs w:val="20"/>
        </w:rPr>
      </w:pPr>
      <w:r w:rsidRPr="001D7814">
        <w:rPr>
          <w:rFonts w:ascii="Times New Roman" w:eastAsia="Times New Roman" w:hAnsi="Times New Roman" w:cs="Times New Roman"/>
          <w:b/>
          <w:bCs/>
          <w:sz w:val="16"/>
          <w:szCs w:val="16"/>
        </w:rPr>
        <w:t> </w:t>
      </w:r>
    </w:p>
    <w:p w:rsidR="001D7814" w:rsidRPr="001D7814" w:rsidRDefault="001D7814" w:rsidP="001D7814">
      <w:pPr>
        <w:overflowPunct w:val="0"/>
        <w:autoSpaceDE w:val="0"/>
        <w:autoSpaceDN w:val="0"/>
        <w:spacing w:after="0" w:line="240" w:lineRule="auto"/>
        <w:jc w:val="right"/>
        <w:rPr>
          <w:rFonts w:ascii="Times New Roman" w:eastAsia="Times New Roman" w:hAnsi="Times New Roman" w:cs="Times New Roman"/>
          <w:sz w:val="20"/>
          <w:szCs w:val="20"/>
          <w:rtl/>
        </w:rPr>
      </w:pPr>
      <w:r w:rsidRPr="001D7814">
        <w:rPr>
          <w:rFonts w:ascii="Times New Roman" w:eastAsia="Times New Roman" w:hAnsi="Times New Roman" w:cs="Times New Roman"/>
          <w:b/>
          <w:bCs/>
          <w:sz w:val="16"/>
          <w:szCs w:val="16"/>
        </w:rPr>
        <w:t> </w:t>
      </w:r>
    </w:p>
    <w:tbl>
      <w:tblPr>
        <w:bidiVisual/>
        <w:tblW w:w="0" w:type="auto"/>
        <w:tblCellMar>
          <w:left w:w="0" w:type="dxa"/>
          <w:right w:w="0" w:type="dxa"/>
        </w:tblCellMar>
        <w:tblLook w:val="04A0" w:firstRow="1" w:lastRow="0" w:firstColumn="1" w:lastColumn="0" w:noHBand="0" w:noVBand="1"/>
      </w:tblPr>
      <w:tblGrid>
        <w:gridCol w:w="7857"/>
      </w:tblGrid>
      <w:tr w:rsidR="001D7814" w:rsidRPr="001D7814" w:rsidTr="001D7814">
        <w:tc>
          <w:tcPr>
            <w:tcW w:w="7857"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360" w:lineRule="auto"/>
              <w:rPr>
                <w:rFonts w:ascii="Times New Roman" w:eastAsia="Times New Roman" w:hAnsi="Times New Roman" w:cs="Times New Roman"/>
                <w:sz w:val="20"/>
                <w:szCs w:val="20"/>
              </w:rPr>
            </w:pPr>
            <w:r w:rsidRPr="001D7814">
              <w:rPr>
                <w:rFonts w:ascii="Times New Roman" w:eastAsia="Times New Roman" w:hAnsi="Times New Roman" w:cs="David" w:hint="cs"/>
                <w:b/>
                <w:bCs/>
                <w:sz w:val="28"/>
                <w:szCs w:val="28"/>
                <w:u w:val="single"/>
                <w:rtl/>
              </w:rPr>
              <w:t xml:space="preserve">בבית המשפט העליון בשבתו כבית משפט לערעורים בעניינים </w:t>
            </w:r>
            <w:proofErr w:type="spellStart"/>
            <w:r w:rsidRPr="001D7814">
              <w:rPr>
                <w:rFonts w:ascii="Times New Roman" w:eastAsia="Times New Roman" w:hAnsi="Times New Roman" w:cs="David" w:hint="cs"/>
                <w:b/>
                <w:bCs/>
                <w:sz w:val="28"/>
                <w:szCs w:val="28"/>
                <w:u w:val="single"/>
                <w:rtl/>
              </w:rPr>
              <w:t>מינהליים</w:t>
            </w:r>
            <w:proofErr w:type="spellEnd"/>
          </w:p>
        </w:tc>
      </w:tr>
    </w:tbl>
    <w:p w:rsidR="001D7814" w:rsidRPr="001D7814" w:rsidRDefault="001D7814" w:rsidP="001D7814">
      <w:pPr>
        <w:overflowPunct w:val="0"/>
        <w:autoSpaceDE w:val="0"/>
        <w:autoSpaceDN w:val="0"/>
        <w:spacing w:after="0" w:line="240" w:lineRule="auto"/>
        <w:jc w:val="right"/>
        <w:rPr>
          <w:rFonts w:ascii="Times New Roman" w:eastAsia="Times New Roman" w:hAnsi="Times New Roman" w:cs="Times New Roman"/>
          <w:sz w:val="20"/>
          <w:szCs w:val="20"/>
          <w:rtl/>
        </w:rPr>
      </w:pPr>
      <w:r w:rsidRPr="001D7814">
        <w:rPr>
          <w:rFonts w:ascii="Times New Roman" w:eastAsia="Times New Roman" w:hAnsi="Times New Roman" w:cs="Times New Roman"/>
          <w:b/>
          <w:bCs/>
          <w:sz w:val="20"/>
          <w:szCs w:val="20"/>
        </w:rPr>
        <w:t> </w:t>
      </w:r>
    </w:p>
    <w:tbl>
      <w:tblPr>
        <w:bidiVisual/>
        <w:tblW w:w="0" w:type="auto"/>
        <w:tblInd w:w="27" w:type="dxa"/>
        <w:tblCellMar>
          <w:left w:w="0" w:type="dxa"/>
          <w:right w:w="0" w:type="dxa"/>
        </w:tblCellMar>
        <w:tblLook w:val="04A0" w:firstRow="1" w:lastRow="0" w:firstColumn="1" w:lastColumn="0" w:noHBand="0" w:noVBand="1"/>
      </w:tblPr>
      <w:tblGrid>
        <w:gridCol w:w="8495"/>
      </w:tblGrid>
      <w:tr w:rsidR="001D7814" w:rsidRPr="001D7814" w:rsidTr="001D7814">
        <w:trPr>
          <w:trHeight w:val="342"/>
        </w:trPr>
        <w:tc>
          <w:tcPr>
            <w:tcW w:w="9828"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360" w:lineRule="auto"/>
              <w:jc w:val="right"/>
              <w:rPr>
                <w:rFonts w:ascii="Times New Roman" w:eastAsia="Times New Roman" w:hAnsi="Times New Roman" w:cs="Times New Roman"/>
                <w:sz w:val="20"/>
                <w:szCs w:val="20"/>
              </w:rPr>
            </w:pPr>
            <w:bookmarkStart w:id="0" w:name="casename_body"/>
            <w:proofErr w:type="spellStart"/>
            <w:r w:rsidRPr="001D7814">
              <w:rPr>
                <w:rFonts w:ascii="Times New Roman" w:eastAsia="Times New Roman" w:hAnsi="Times New Roman" w:cs="David" w:hint="cs"/>
                <w:b/>
                <w:bCs/>
                <w:sz w:val="28"/>
                <w:szCs w:val="28"/>
                <w:rtl/>
              </w:rPr>
              <w:t>עע"מ</w:t>
            </w:r>
            <w:proofErr w:type="spellEnd"/>
            <w:r w:rsidRPr="001D7814">
              <w:rPr>
                <w:rFonts w:ascii="Times New Roman" w:eastAsia="Times New Roman" w:hAnsi="Times New Roman" w:cs="David" w:hint="cs"/>
                <w:b/>
                <w:bCs/>
                <w:sz w:val="28"/>
                <w:szCs w:val="28"/>
                <w:rtl/>
              </w:rPr>
              <w:t>  5875/10</w:t>
            </w:r>
            <w:bookmarkEnd w:id="0"/>
          </w:p>
        </w:tc>
      </w:tr>
    </w:tbl>
    <w:p w:rsidR="001D7814" w:rsidRPr="001D7814" w:rsidRDefault="001D7814" w:rsidP="001D7814">
      <w:pPr>
        <w:overflowPunct w:val="0"/>
        <w:autoSpaceDE w:val="0"/>
        <w:autoSpaceDN w:val="0"/>
        <w:spacing w:after="0" w:line="240" w:lineRule="auto"/>
        <w:jc w:val="right"/>
        <w:rPr>
          <w:rFonts w:ascii="Times New Roman" w:eastAsia="Times New Roman" w:hAnsi="Times New Roman" w:cs="Times New Roman"/>
          <w:sz w:val="20"/>
          <w:szCs w:val="20"/>
          <w:rtl/>
        </w:rPr>
      </w:pPr>
      <w:r w:rsidRPr="001D7814">
        <w:rPr>
          <w:rFonts w:ascii="Times New Roman" w:eastAsia="Times New Roman" w:hAnsi="Times New Roman" w:cs="Times New Roman"/>
          <w:b/>
          <w:bCs/>
          <w:sz w:val="20"/>
          <w:szCs w:val="2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1D7814" w:rsidRPr="001D7814" w:rsidTr="001D7814">
        <w:trPr>
          <w:trHeight w:val="287"/>
        </w:trPr>
        <w:tc>
          <w:tcPr>
            <w:tcW w:w="3284"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 xml:space="preserve">לפני:   </w:t>
            </w:r>
          </w:p>
        </w:tc>
        <w:tc>
          <w:tcPr>
            <w:tcW w:w="5238"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כבוד הנשיאה מ' נאור</w:t>
            </w:r>
          </w:p>
        </w:tc>
      </w:tr>
      <w:tr w:rsidR="001D7814" w:rsidRPr="001D7814" w:rsidTr="001D7814">
        <w:trPr>
          <w:trHeight w:val="287"/>
        </w:trPr>
        <w:tc>
          <w:tcPr>
            <w:tcW w:w="3284"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 </w:t>
            </w:r>
          </w:p>
        </w:tc>
        <w:tc>
          <w:tcPr>
            <w:tcW w:w="5238"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כבוד המשנה לנשיאה א' רובינשטיין</w:t>
            </w:r>
          </w:p>
        </w:tc>
      </w:tr>
      <w:tr w:rsidR="001D7814" w:rsidRPr="001D7814" w:rsidTr="001D7814">
        <w:trPr>
          <w:trHeight w:val="287"/>
        </w:trPr>
        <w:tc>
          <w:tcPr>
            <w:tcW w:w="3284"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 </w:t>
            </w:r>
          </w:p>
        </w:tc>
        <w:tc>
          <w:tcPr>
            <w:tcW w:w="5238"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כבוד השופט ס' ג'ובראן</w:t>
            </w:r>
          </w:p>
        </w:tc>
      </w:tr>
    </w:tbl>
    <w:p w:rsidR="001D7814" w:rsidRPr="001D7814" w:rsidRDefault="001D7814" w:rsidP="001D7814">
      <w:pPr>
        <w:overflowPunct w:val="0"/>
        <w:autoSpaceDE w:val="0"/>
        <w:autoSpaceDN w:val="0"/>
        <w:spacing w:after="0" w:line="360" w:lineRule="auto"/>
        <w:rPr>
          <w:rFonts w:ascii="Times New Roman" w:eastAsia="Times New Roman" w:hAnsi="Times New Roman" w:cs="Times New Roman"/>
          <w:spacing w:val="10"/>
          <w:rtl/>
        </w:rPr>
      </w:pPr>
      <w:r w:rsidRPr="001D7814">
        <w:rPr>
          <w:rFonts w:ascii="Times New Roman" w:eastAsia="Times New Roman" w:hAnsi="Times New Roman" w:cs="Miriam" w:hint="cs"/>
          <w:b/>
          <w:bCs/>
          <w:spacing w:val="10"/>
          <w:sz w:val="28"/>
          <w:szCs w:val="28"/>
          <w:rtl/>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1D7814" w:rsidRPr="001D7814" w:rsidTr="001D7814">
        <w:tc>
          <w:tcPr>
            <w:tcW w:w="3284"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המערערות:</w:t>
            </w:r>
          </w:p>
        </w:tc>
        <w:tc>
          <w:tcPr>
            <w:tcW w:w="5238"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1. התנועה המסורתית</w:t>
            </w:r>
          </w:p>
        </w:tc>
      </w:tr>
      <w:tr w:rsidR="001D7814" w:rsidRPr="001D7814" w:rsidTr="001D7814">
        <w:tc>
          <w:tcPr>
            <w:tcW w:w="3284"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 </w:t>
            </w:r>
          </w:p>
        </w:tc>
        <w:tc>
          <w:tcPr>
            <w:tcW w:w="5238"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2. התנועה ליהדות מתקדמת בישראל</w:t>
            </w:r>
          </w:p>
        </w:tc>
      </w:tr>
    </w:tbl>
    <w:p w:rsidR="001D7814" w:rsidRPr="001D7814" w:rsidRDefault="001D7814" w:rsidP="001D7814">
      <w:pPr>
        <w:overflowPunct w:val="0"/>
        <w:autoSpaceDE w:val="0"/>
        <w:autoSpaceDN w:val="0"/>
        <w:spacing w:after="0" w:line="360" w:lineRule="auto"/>
        <w:rPr>
          <w:rFonts w:ascii="Times New Roman" w:eastAsia="Times New Roman" w:hAnsi="Times New Roman" w:cs="Times New Roman"/>
          <w:spacing w:val="10"/>
          <w:rtl/>
        </w:rPr>
      </w:pPr>
      <w:r w:rsidRPr="001D7814">
        <w:rPr>
          <w:rFonts w:ascii="Times New Roman" w:eastAsia="Times New Roman" w:hAnsi="Times New Roman" w:cs="Times New Roman"/>
          <w:spacing w:val="10"/>
        </w:rPr>
        <w:t xml:space="preserve">                                           </w:t>
      </w:r>
    </w:p>
    <w:tbl>
      <w:tblPr>
        <w:bidiVisual/>
        <w:tblW w:w="0" w:type="auto"/>
        <w:tblCellMar>
          <w:left w:w="0" w:type="dxa"/>
          <w:right w:w="0" w:type="dxa"/>
        </w:tblCellMar>
        <w:tblLook w:val="04A0" w:firstRow="1" w:lastRow="0" w:firstColumn="1" w:lastColumn="0" w:noHBand="0" w:noVBand="1"/>
      </w:tblPr>
      <w:tblGrid>
        <w:gridCol w:w="3284"/>
        <w:gridCol w:w="5238"/>
      </w:tblGrid>
      <w:tr w:rsidR="001D7814" w:rsidRPr="001D7814" w:rsidTr="001D7814">
        <w:tc>
          <w:tcPr>
            <w:tcW w:w="3284"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Times New Roman"/>
              </w:rPr>
              <w:t> </w:t>
            </w:r>
          </w:p>
        </w:tc>
        <w:tc>
          <w:tcPr>
            <w:tcW w:w="5238"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נ</w:t>
            </w:r>
            <w:r w:rsidRPr="001D7814">
              <w:rPr>
                <w:rFonts w:ascii="Times New Roman" w:eastAsia="Times New Roman" w:hAnsi="Times New Roman" w:cs="Times New Roman"/>
              </w:rPr>
              <w:t xml:space="preserve">  </w:t>
            </w:r>
            <w:r w:rsidRPr="001D7814">
              <w:rPr>
                <w:rFonts w:ascii="Times New Roman" w:eastAsia="Times New Roman" w:hAnsi="Times New Roman" w:cs="David" w:hint="cs"/>
                <w:sz w:val="28"/>
                <w:szCs w:val="28"/>
                <w:rtl/>
              </w:rPr>
              <w:t>ג</w:t>
            </w:r>
            <w:r w:rsidRPr="001D7814">
              <w:rPr>
                <w:rFonts w:ascii="Times New Roman" w:eastAsia="Times New Roman" w:hAnsi="Times New Roman" w:cs="Times New Roman"/>
              </w:rPr>
              <w:t xml:space="preserve">  </w:t>
            </w:r>
            <w:r w:rsidRPr="001D7814">
              <w:rPr>
                <w:rFonts w:ascii="Times New Roman" w:eastAsia="Times New Roman" w:hAnsi="Times New Roman" w:cs="David" w:hint="cs"/>
                <w:sz w:val="28"/>
                <w:szCs w:val="28"/>
                <w:rtl/>
              </w:rPr>
              <w:t>ד</w:t>
            </w:r>
          </w:p>
        </w:tc>
      </w:tr>
    </w:tbl>
    <w:p w:rsidR="001D7814" w:rsidRPr="001D7814" w:rsidRDefault="001D7814" w:rsidP="001D7814">
      <w:pPr>
        <w:overflowPunct w:val="0"/>
        <w:autoSpaceDE w:val="0"/>
        <w:autoSpaceDN w:val="0"/>
        <w:spacing w:after="0" w:line="360" w:lineRule="auto"/>
        <w:rPr>
          <w:rFonts w:ascii="Times New Roman" w:eastAsia="Times New Roman" w:hAnsi="Times New Roman" w:cs="Times New Roman"/>
          <w:spacing w:val="10"/>
          <w:rtl/>
        </w:rPr>
      </w:pPr>
      <w:r w:rsidRPr="001D7814">
        <w:rPr>
          <w:rFonts w:ascii="Times New Roman" w:eastAsia="Times New Roman" w:hAnsi="Times New Roman" w:cs="Times New Roman"/>
          <w:spacing w:val="10"/>
        </w:rPr>
        <w:t xml:space="preserve">                                                                                                     </w:t>
      </w:r>
    </w:p>
    <w:tbl>
      <w:tblPr>
        <w:bidiVisual/>
        <w:tblW w:w="0" w:type="auto"/>
        <w:tblCellMar>
          <w:left w:w="0" w:type="dxa"/>
          <w:right w:w="0" w:type="dxa"/>
        </w:tblCellMar>
        <w:tblLook w:val="04A0" w:firstRow="1" w:lastRow="0" w:firstColumn="1" w:lastColumn="0" w:noHBand="0" w:noVBand="1"/>
      </w:tblPr>
      <w:tblGrid>
        <w:gridCol w:w="3284"/>
        <w:gridCol w:w="5238"/>
      </w:tblGrid>
      <w:tr w:rsidR="001D7814" w:rsidRPr="001D7814" w:rsidTr="001D7814">
        <w:tc>
          <w:tcPr>
            <w:tcW w:w="3284"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המשיבים:</w:t>
            </w:r>
          </w:p>
        </w:tc>
        <w:tc>
          <w:tcPr>
            <w:tcW w:w="5238"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1. המועצה הדתית באר שבע</w:t>
            </w:r>
          </w:p>
        </w:tc>
      </w:tr>
      <w:tr w:rsidR="001D7814" w:rsidRPr="001D7814" w:rsidTr="001D7814">
        <w:tc>
          <w:tcPr>
            <w:tcW w:w="3284"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 </w:t>
            </w:r>
          </w:p>
        </w:tc>
        <w:tc>
          <w:tcPr>
            <w:tcW w:w="5238"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Pr>
            </w:pPr>
            <w:r w:rsidRPr="001D7814">
              <w:rPr>
                <w:rFonts w:ascii="Times New Roman" w:eastAsia="Times New Roman" w:hAnsi="Times New Roman" w:cs="David" w:hint="cs"/>
                <w:sz w:val="28"/>
                <w:szCs w:val="28"/>
                <w:rtl/>
              </w:rPr>
              <w:t>2. המשרד לשירותי דת</w:t>
            </w:r>
          </w:p>
        </w:tc>
      </w:tr>
    </w:tbl>
    <w:p w:rsidR="001D7814" w:rsidRPr="001D7814" w:rsidRDefault="001D7814" w:rsidP="001D7814">
      <w:pPr>
        <w:overflowPunct w:val="0"/>
        <w:autoSpaceDE w:val="0"/>
        <w:autoSpaceDN w:val="0"/>
        <w:spacing w:after="0" w:line="360" w:lineRule="auto"/>
        <w:rPr>
          <w:rFonts w:ascii="Times New Roman" w:eastAsia="Times New Roman" w:hAnsi="Times New Roman" w:cs="Times New Roman"/>
          <w:spacing w:val="10"/>
          <w:rtl/>
        </w:rPr>
      </w:pPr>
      <w:r w:rsidRPr="001D7814">
        <w:rPr>
          <w:rFonts w:ascii="Times New Roman" w:eastAsia="Times New Roman" w:hAnsi="Times New Roman" w:cs="FrankRuehl" w:hint="cs"/>
          <w:spacing w:val="10"/>
          <w:sz w:val="28"/>
          <w:szCs w:val="28"/>
          <w:rtl/>
        </w:rPr>
        <w:t xml:space="preserve">                                           </w:t>
      </w:r>
    </w:p>
    <w:tbl>
      <w:tblPr>
        <w:bidiVisual/>
        <w:tblW w:w="0" w:type="auto"/>
        <w:tblInd w:w="3284" w:type="dxa"/>
        <w:tblCellMar>
          <w:left w:w="0" w:type="dxa"/>
          <w:right w:w="0" w:type="dxa"/>
        </w:tblCellMar>
        <w:tblLook w:val="04A0" w:firstRow="1" w:lastRow="0" w:firstColumn="1" w:lastColumn="0" w:noHBand="0" w:noVBand="1"/>
      </w:tblPr>
      <w:tblGrid>
        <w:gridCol w:w="5238"/>
      </w:tblGrid>
      <w:tr w:rsidR="001D7814" w:rsidRPr="001D7814" w:rsidTr="001D7814">
        <w:tc>
          <w:tcPr>
            <w:tcW w:w="5238"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240" w:lineRule="auto"/>
              <w:jc w:val="both"/>
              <w:rPr>
                <w:rFonts w:ascii="Times New Roman" w:eastAsia="Times New Roman" w:hAnsi="Times New Roman" w:cs="Times New Roman"/>
              </w:rPr>
            </w:pPr>
            <w:r w:rsidRPr="001D7814">
              <w:rPr>
                <w:rFonts w:ascii="Times New Roman" w:eastAsia="Times New Roman" w:hAnsi="Times New Roman" w:cs="David" w:hint="cs"/>
                <w:sz w:val="24"/>
                <w:szCs w:val="24"/>
                <w:rtl/>
              </w:rPr>
              <w:t xml:space="preserve">ערעור על פסק דינו של בית המשפט המחוזי בבאר שבע בשבתו כבית משפט לעניינים </w:t>
            </w:r>
            <w:proofErr w:type="spellStart"/>
            <w:r w:rsidRPr="001D7814">
              <w:rPr>
                <w:rFonts w:ascii="Times New Roman" w:eastAsia="Times New Roman" w:hAnsi="Times New Roman" w:cs="David" w:hint="cs"/>
                <w:sz w:val="24"/>
                <w:szCs w:val="24"/>
                <w:rtl/>
              </w:rPr>
              <w:t>מינהליים</w:t>
            </w:r>
            <w:proofErr w:type="spellEnd"/>
            <w:r w:rsidRPr="001D7814">
              <w:rPr>
                <w:rFonts w:ascii="Times New Roman" w:eastAsia="Times New Roman" w:hAnsi="Times New Roman" w:cs="David" w:hint="cs"/>
                <w:sz w:val="24"/>
                <w:szCs w:val="24"/>
                <w:rtl/>
              </w:rPr>
              <w:t xml:space="preserve"> (סגן הנשיא ב' אזולאי) </w:t>
            </w:r>
            <w:proofErr w:type="spellStart"/>
            <w:r w:rsidRPr="001D7814">
              <w:rPr>
                <w:rFonts w:ascii="Times New Roman" w:eastAsia="Times New Roman" w:hAnsi="Times New Roman" w:cs="David" w:hint="cs"/>
                <w:sz w:val="24"/>
                <w:szCs w:val="24"/>
                <w:rtl/>
              </w:rPr>
              <w:t>בעת"מ</w:t>
            </w:r>
            <w:proofErr w:type="spellEnd"/>
            <w:r w:rsidRPr="001D7814">
              <w:rPr>
                <w:rFonts w:ascii="Times New Roman" w:eastAsia="Times New Roman" w:hAnsi="Times New Roman" w:cs="David" w:hint="cs"/>
                <w:sz w:val="24"/>
                <w:szCs w:val="24"/>
                <w:rtl/>
              </w:rPr>
              <w:t xml:space="preserve"> 237/08 מיום 15.3.10</w:t>
            </w:r>
          </w:p>
        </w:tc>
      </w:tr>
    </w:tbl>
    <w:p w:rsidR="001D7814" w:rsidRPr="001D7814" w:rsidRDefault="001D7814" w:rsidP="001D7814">
      <w:pPr>
        <w:overflowPunct w:val="0"/>
        <w:autoSpaceDE w:val="0"/>
        <w:autoSpaceDN w:val="0"/>
        <w:spacing w:after="0" w:line="360" w:lineRule="auto"/>
        <w:rPr>
          <w:rFonts w:ascii="Times New Roman" w:eastAsia="Times New Roman" w:hAnsi="Times New Roman" w:cs="Times New Roman"/>
          <w:spacing w:val="10"/>
          <w:rtl/>
        </w:rPr>
      </w:pPr>
      <w:r w:rsidRPr="001D7814">
        <w:rPr>
          <w:rFonts w:ascii="Times New Roman" w:eastAsia="Times New Roman" w:hAnsi="Times New Roman" w:cs="FrankRuehl" w:hint="cs"/>
          <w:spacing w:val="10"/>
          <w:sz w:val="28"/>
          <w:szCs w:val="28"/>
          <w:rtl/>
        </w:rPr>
        <w:t> </w:t>
      </w:r>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tl/>
        </w:rPr>
      </w:pPr>
      <w:r w:rsidRPr="001D7814">
        <w:rPr>
          <w:rFonts w:ascii="Times New Roman" w:eastAsia="Times New Roman" w:hAnsi="Times New Roman" w:cs="David" w:hint="cs"/>
          <w:sz w:val="28"/>
          <w:szCs w:val="28"/>
          <w:rtl/>
        </w:rPr>
        <w:t xml:space="preserve">בשם המערערות:       עו"ד אורלי ארז-לחובסקי; עו"ד עינת הורביץ </w:t>
      </w:r>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tl/>
        </w:rPr>
      </w:pPr>
      <w:r w:rsidRPr="001D7814">
        <w:rPr>
          <w:rFonts w:ascii="Times New Roman" w:eastAsia="Times New Roman" w:hAnsi="Times New Roman" w:cs="David" w:hint="cs"/>
          <w:sz w:val="28"/>
          <w:szCs w:val="28"/>
          <w:rtl/>
        </w:rPr>
        <w:t>בשם המשיבה 1:       עו"ד ד"ר עמרם מליץ</w:t>
      </w:r>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tl/>
        </w:rPr>
      </w:pPr>
      <w:r w:rsidRPr="001D7814">
        <w:rPr>
          <w:rFonts w:ascii="Times New Roman" w:eastAsia="Times New Roman" w:hAnsi="Times New Roman" w:cs="David" w:hint="cs"/>
          <w:sz w:val="28"/>
          <w:szCs w:val="28"/>
          <w:rtl/>
        </w:rPr>
        <w:t xml:space="preserve">בשם המשיב 2:          עו"ד רועי </w:t>
      </w:r>
      <w:proofErr w:type="spellStart"/>
      <w:r w:rsidRPr="001D7814">
        <w:rPr>
          <w:rFonts w:ascii="Times New Roman" w:eastAsia="Times New Roman" w:hAnsi="Times New Roman" w:cs="David" w:hint="cs"/>
          <w:sz w:val="28"/>
          <w:szCs w:val="28"/>
          <w:rtl/>
        </w:rPr>
        <w:t>שויקה</w:t>
      </w:r>
      <w:proofErr w:type="spellEnd"/>
      <w:r w:rsidRPr="001D7814">
        <w:rPr>
          <w:rFonts w:ascii="Times New Roman" w:eastAsia="Times New Roman" w:hAnsi="Times New Roman" w:cs="David" w:hint="cs"/>
          <w:sz w:val="28"/>
          <w:szCs w:val="28"/>
          <w:rtl/>
        </w:rPr>
        <w:t xml:space="preserve">; עו"ד </w:t>
      </w:r>
      <w:proofErr w:type="spellStart"/>
      <w:r w:rsidRPr="001D7814">
        <w:rPr>
          <w:rFonts w:ascii="Times New Roman" w:eastAsia="Times New Roman" w:hAnsi="Times New Roman" w:cs="David" w:hint="cs"/>
          <w:sz w:val="28"/>
          <w:szCs w:val="28"/>
          <w:rtl/>
        </w:rPr>
        <w:t>יוכי</w:t>
      </w:r>
      <w:proofErr w:type="spellEnd"/>
      <w:r w:rsidRPr="001D7814">
        <w:rPr>
          <w:rFonts w:ascii="Times New Roman" w:eastAsia="Times New Roman" w:hAnsi="Times New Roman" w:cs="David" w:hint="cs"/>
          <w:sz w:val="28"/>
          <w:szCs w:val="28"/>
          <w:rtl/>
        </w:rPr>
        <w:t xml:space="preserve"> </w:t>
      </w:r>
      <w:proofErr w:type="spellStart"/>
      <w:r w:rsidRPr="001D7814">
        <w:rPr>
          <w:rFonts w:ascii="Times New Roman" w:eastAsia="Times New Roman" w:hAnsi="Times New Roman" w:cs="David" w:hint="cs"/>
          <w:sz w:val="28"/>
          <w:szCs w:val="28"/>
          <w:rtl/>
        </w:rPr>
        <w:t>גנסין</w:t>
      </w:r>
      <w:proofErr w:type="spellEnd"/>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sz w:val="20"/>
          <w:szCs w:val="20"/>
          <w:rtl/>
        </w:rPr>
      </w:pPr>
      <w:r w:rsidRPr="001D7814">
        <w:rPr>
          <w:rFonts w:ascii="Times New Roman" w:eastAsia="Times New Roman" w:hAnsi="Times New Roman" w:cs="Times New Roman"/>
          <w:sz w:val="20"/>
          <w:szCs w:val="20"/>
        </w:rPr>
        <w:t> </w:t>
      </w:r>
    </w:p>
    <w:tbl>
      <w:tblPr>
        <w:bidiVisual/>
        <w:tblW w:w="0" w:type="auto"/>
        <w:tblCellMar>
          <w:left w:w="0" w:type="dxa"/>
          <w:right w:w="0" w:type="dxa"/>
        </w:tblCellMar>
        <w:tblLook w:val="04A0" w:firstRow="1" w:lastRow="0" w:firstColumn="1" w:lastColumn="0" w:noHBand="0" w:noVBand="1"/>
      </w:tblPr>
      <w:tblGrid>
        <w:gridCol w:w="8522"/>
      </w:tblGrid>
      <w:tr w:rsidR="001D7814" w:rsidRPr="001D7814" w:rsidTr="001D7814">
        <w:tc>
          <w:tcPr>
            <w:tcW w:w="9837"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360" w:lineRule="auto"/>
              <w:jc w:val="center"/>
              <w:rPr>
                <w:rFonts w:ascii="Times New Roman" w:eastAsia="Times New Roman" w:hAnsi="Times New Roman" w:cs="Times New Roman"/>
                <w:spacing w:val="30"/>
                <w:sz w:val="20"/>
                <w:szCs w:val="20"/>
                <w:u w:val="single"/>
              </w:rPr>
            </w:pPr>
            <w:bookmarkStart w:id="1" w:name="BeginProtocol"/>
            <w:bookmarkStart w:id="2" w:name="secretary"/>
            <w:bookmarkEnd w:id="1"/>
            <w:bookmarkEnd w:id="2"/>
            <w:r w:rsidRPr="001D7814">
              <w:rPr>
                <w:rFonts w:ascii="Times New Roman" w:eastAsia="Times New Roman" w:hAnsi="Times New Roman" w:cs="David" w:hint="cs"/>
                <w:b/>
                <w:bCs/>
                <w:spacing w:val="30"/>
                <w:sz w:val="28"/>
                <w:szCs w:val="28"/>
                <w:u w:val="single"/>
                <w:rtl/>
              </w:rPr>
              <w:t>פסק-דין</w:t>
            </w:r>
          </w:p>
        </w:tc>
      </w:tr>
    </w:tbl>
    <w:p w:rsidR="001D7814" w:rsidRPr="001D7814" w:rsidRDefault="001D7814" w:rsidP="001D7814">
      <w:pPr>
        <w:overflowPunct w:val="0"/>
        <w:autoSpaceDE w:val="0"/>
        <w:autoSpaceDN w:val="0"/>
        <w:spacing w:after="0" w:line="240" w:lineRule="auto"/>
        <w:rPr>
          <w:rFonts w:ascii="Times New Roman" w:eastAsia="Times New Roman" w:hAnsi="Times New Roman" w:cs="Times New Roman"/>
          <w:spacing w:val="10"/>
          <w:rtl/>
        </w:rPr>
      </w:pPr>
      <w:r w:rsidRPr="001D7814">
        <w:rPr>
          <w:rFonts w:ascii="Times New Roman" w:eastAsia="Times New Roman" w:hAnsi="Times New Roman" w:cs="Times New Roman"/>
          <w:spacing w:val="10"/>
        </w:rPr>
        <w:t> </w:t>
      </w:r>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spacing w:val="10"/>
          <w:rtl/>
        </w:rPr>
      </w:pPr>
      <w:bookmarkStart w:id="3" w:name="Writer_Name"/>
      <w:bookmarkEnd w:id="3"/>
      <w:r w:rsidRPr="001D7814">
        <w:rPr>
          <w:rFonts w:ascii="Times New Roman" w:eastAsia="Times New Roman" w:hAnsi="Times New Roman" w:cs="Miriam" w:hint="cs"/>
          <w:spacing w:val="10"/>
          <w:sz w:val="24"/>
          <w:szCs w:val="24"/>
          <w:u w:val="single"/>
          <w:rtl/>
        </w:rPr>
        <w:t>המשנה לנשיאה א' רובינשטיין:</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bookmarkStart w:id="4" w:name="Start_Write"/>
      <w:bookmarkEnd w:id="4"/>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א.</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ערעור על פסק דינו של בית המשפט המחוזי בבאר שבע בשבתו כבית משפט לעניינים </w:t>
      </w:r>
      <w:proofErr w:type="spellStart"/>
      <w:r w:rsidRPr="001D7814">
        <w:rPr>
          <w:rFonts w:ascii="Arial TUR" w:eastAsia="Times New Roman" w:hAnsi="Arial TUR" w:cs="FrankRuehl" w:hint="cs"/>
          <w:spacing w:val="10"/>
          <w:sz w:val="28"/>
          <w:szCs w:val="28"/>
          <w:rtl/>
        </w:rPr>
        <w:t>מינהליים</w:t>
      </w:r>
      <w:proofErr w:type="spellEnd"/>
      <w:r w:rsidRPr="001D7814">
        <w:rPr>
          <w:rFonts w:ascii="Arial TUR" w:eastAsia="Times New Roman" w:hAnsi="Arial TUR" w:cs="FrankRuehl" w:hint="cs"/>
          <w:spacing w:val="10"/>
          <w:sz w:val="28"/>
          <w:szCs w:val="28"/>
          <w:rtl/>
        </w:rPr>
        <w:t xml:space="preserve"> (סגן הנשיא </w:t>
      </w:r>
      <w:r w:rsidRPr="001D7814">
        <w:rPr>
          <w:rFonts w:ascii="Arial TUR" w:eastAsia="Times New Roman" w:hAnsi="Arial TUR" w:cs="Miriam" w:hint="cs"/>
          <w:sz w:val="24"/>
          <w:szCs w:val="24"/>
          <w:rtl/>
        </w:rPr>
        <w:t>ב' אזולאי</w:t>
      </w:r>
      <w:r w:rsidRPr="001D7814">
        <w:rPr>
          <w:rFonts w:ascii="Arial TUR" w:eastAsia="Times New Roman" w:hAnsi="Arial TUR" w:cs="FrankRuehl" w:hint="cs"/>
          <w:spacing w:val="10"/>
          <w:sz w:val="28"/>
          <w:szCs w:val="28"/>
          <w:rtl/>
        </w:rPr>
        <w:t xml:space="preserve">) </w:t>
      </w:r>
      <w:proofErr w:type="spellStart"/>
      <w:r w:rsidRPr="001D7814">
        <w:rPr>
          <w:rFonts w:ascii="Arial TUR" w:eastAsia="Times New Roman" w:hAnsi="Arial TUR" w:cs="FrankRuehl" w:hint="cs"/>
          <w:spacing w:val="10"/>
          <w:sz w:val="28"/>
          <w:szCs w:val="28"/>
          <w:rtl/>
        </w:rPr>
        <w:t>בעת"מ</w:t>
      </w:r>
      <w:proofErr w:type="spellEnd"/>
      <w:r w:rsidRPr="001D7814">
        <w:rPr>
          <w:rFonts w:ascii="Arial TUR" w:eastAsia="Times New Roman" w:hAnsi="Arial TUR" w:cs="FrankRuehl" w:hint="cs"/>
          <w:spacing w:val="10"/>
          <w:sz w:val="28"/>
          <w:szCs w:val="28"/>
          <w:rtl/>
        </w:rPr>
        <w:t xml:space="preserve"> 237/08 מיום 15.3.10, בגדרו נקבע כי לא נפל פגם בהחלטת המועצה הדתית באר שבע למנוע מהתנועה המסורתית (הקונסרבטיבית) והתנועה ליהדות מתקדמת (הרפורמית) להשתמש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שבתחומה לשם עריכת טקס גיור על ידיהן.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Miriam" w:hint="cs"/>
          <w:sz w:val="24"/>
          <w:szCs w:val="24"/>
          <w:rtl/>
        </w:rPr>
        <w:t>רקע והליכים קודמים</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ב.</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המערערות הן עמותות המקדמות את עניינם של יהודים קונסרבטיבים ורפורמים בישראל. במסגרת פעילותן, מפעילות המערערות מערך גיור פרטי, אשר משמעותו המשפטית תלויה ועומדת בפני בית משפט זה (בג"ץ 11013/05 </w:t>
      </w:r>
      <w:r w:rsidRPr="001D7814">
        <w:rPr>
          <w:rFonts w:ascii="Arial TUR" w:eastAsia="Times New Roman" w:hAnsi="Arial TUR" w:cs="Miriam" w:hint="cs"/>
          <w:sz w:val="24"/>
          <w:szCs w:val="24"/>
          <w:rtl/>
        </w:rPr>
        <w:t>דהן נ' שר הפנים</w:t>
      </w:r>
      <w:r w:rsidRPr="001D7814">
        <w:rPr>
          <w:rFonts w:ascii="Arial TUR" w:eastAsia="Times New Roman" w:hAnsi="Arial TUR" w:cs="FrankRuehl" w:hint="cs"/>
          <w:spacing w:val="10"/>
          <w:sz w:val="28"/>
          <w:szCs w:val="28"/>
          <w:rtl/>
        </w:rPr>
        <w:t xml:space="preserve"> ותיקים קשורים), וכן תלויה ועומדת בפנינו הכרעה בהקשר גיורים פרטיים </w:t>
      </w:r>
      <w:r w:rsidRPr="001D7814">
        <w:rPr>
          <w:rFonts w:ascii="Arial TUR" w:eastAsia="Times New Roman" w:hAnsi="Arial TUR" w:cs="FrankRuehl" w:hint="cs"/>
          <w:spacing w:val="10"/>
          <w:sz w:val="28"/>
          <w:szCs w:val="28"/>
          <w:rtl/>
        </w:rPr>
        <w:lastRenderedPageBreak/>
        <w:t xml:space="preserve">אורתודוכסיים (בג"ץ 7625/06 </w:t>
      </w:r>
      <w:proofErr w:type="spellStart"/>
      <w:r w:rsidRPr="001D7814">
        <w:rPr>
          <w:rFonts w:ascii="Arial TUR" w:eastAsia="Times New Roman" w:hAnsi="Arial TUR" w:cs="Miriam" w:hint="cs"/>
          <w:sz w:val="24"/>
          <w:szCs w:val="24"/>
          <w:rtl/>
        </w:rPr>
        <w:t>רגצ'ובה</w:t>
      </w:r>
      <w:proofErr w:type="spellEnd"/>
      <w:r w:rsidRPr="001D7814">
        <w:rPr>
          <w:rFonts w:ascii="Arial TUR" w:eastAsia="Times New Roman" w:hAnsi="Arial TUR" w:cs="Miriam" w:hint="cs"/>
          <w:sz w:val="24"/>
          <w:szCs w:val="24"/>
          <w:rtl/>
        </w:rPr>
        <w:t xml:space="preserve"> נ' שר הפנים</w:t>
      </w:r>
      <w:r w:rsidRPr="001D7814">
        <w:rPr>
          <w:rFonts w:ascii="Arial TUR" w:eastAsia="Times New Roman" w:hAnsi="Arial TUR" w:cs="FrankRuehl" w:hint="cs"/>
          <w:spacing w:val="10"/>
          <w:sz w:val="28"/>
          <w:szCs w:val="28"/>
          <w:rtl/>
        </w:rPr>
        <w:t xml:space="preserve"> ותיקים קשורים). ביום 7.5.06 עתרו המערערות לאפשר את כניסתם של נציגיהן, </w:t>
      </w:r>
      <w:proofErr w:type="spellStart"/>
      <w:r w:rsidRPr="001D7814">
        <w:rPr>
          <w:rFonts w:ascii="Arial TUR" w:eastAsia="Times New Roman" w:hAnsi="Arial TUR" w:cs="FrankRuehl" w:hint="cs"/>
          <w:spacing w:val="10"/>
          <w:sz w:val="28"/>
          <w:szCs w:val="28"/>
          <w:rtl/>
        </w:rPr>
        <w:t>המלוים</w:t>
      </w:r>
      <w:proofErr w:type="spellEnd"/>
      <w:r w:rsidRPr="001D7814">
        <w:rPr>
          <w:rFonts w:ascii="Arial TUR" w:eastAsia="Times New Roman" w:hAnsi="Arial TUR" w:cs="FrankRuehl" w:hint="cs"/>
          <w:spacing w:val="10"/>
          <w:sz w:val="28"/>
          <w:szCs w:val="28"/>
          <w:rtl/>
        </w:rPr>
        <w:t xml:space="preserve"> את המתגיירים מטעמן, </w:t>
      </w:r>
      <w:proofErr w:type="spellStart"/>
      <w:r w:rsidRPr="001D7814">
        <w:rPr>
          <w:rFonts w:ascii="Arial TUR" w:eastAsia="Times New Roman" w:hAnsi="Arial TUR" w:cs="FrankRuehl" w:hint="cs"/>
          <w:spacing w:val="10"/>
          <w:sz w:val="28"/>
          <w:szCs w:val="28"/>
          <w:rtl/>
        </w:rPr>
        <w:t>למקואות</w:t>
      </w:r>
      <w:proofErr w:type="spellEnd"/>
      <w:r w:rsidRPr="001D7814">
        <w:rPr>
          <w:rFonts w:ascii="Arial TUR" w:eastAsia="Times New Roman" w:hAnsi="Arial TUR" w:cs="FrankRuehl" w:hint="cs"/>
          <w:spacing w:val="10"/>
          <w:sz w:val="28"/>
          <w:szCs w:val="28"/>
          <w:rtl/>
        </w:rPr>
        <w:t xml:space="preserve"> ציבוריים לשם עריכת טבילה המהוה מעין "טקס סיום" להליך הגיור (בג"ץ 3775/06). כאן המקום להבהיר, כי השלב האחרון בהליך הגיור הוא טבילת המתגייר, הנעשית בפני בית דין בן שלושה חברים. העתירה נדחתה ביום 2.8.07, תוך שנקבע כי דרך המלך בנידון </w:t>
      </w:r>
      <w:proofErr w:type="spellStart"/>
      <w:r w:rsidRPr="001D7814">
        <w:rPr>
          <w:rFonts w:ascii="Arial TUR" w:eastAsia="Times New Roman" w:hAnsi="Arial TUR" w:cs="FrankRuehl" w:hint="cs"/>
          <w:spacing w:val="10"/>
          <w:sz w:val="28"/>
          <w:szCs w:val="28"/>
          <w:rtl/>
        </w:rPr>
        <w:t>דידן</w:t>
      </w:r>
      <w:proofErr w:type="spellEnd"/>
      <w:r w:rsidRPr="001D7814">
        <w:rPr>
          <w:rFonts w:ascii="Arial TUR" w:eastAsia="Times New Roman" w:hAnsi="Arial TUR" w:cs="FrankRuehl" w:hint="cs"/>
          <w:spacing w:val="10"/>
          <w:sz w:val="28"/>
          <w:szCs w:val="28"/>
          <w:rtl/>
        </w:rPr>
        <w:t xml:space="preserve"> היא הגשת עתירה לבית המשפט לעניינים מנהליים. לאחר בירור ראשוני וחליפת מכתבים עם המועצה הדתית בבאר-שבע (להלן </w:t>
      </w:r>
      <w:r w:rsidRPr="001D7814">
        <w:rPr>
          <w:rFonts w:ascii="Arial TUR" w:eastAsia="Times New Roman" w:hAnsi="Arial TUR" w:cs="Miriam" w:hint="cs"/>
          <w:sz w:val="24"/>
          <w:szCs w:val="24"/>
          <w:rtl/>
        </w:rPr>
        <w:t>המשיבה 1</w:t>
      </w:r>
      <w:r w:rsidRPr="001D7814">
        <w:rPr>
          <w:rFonts w:ascii="Arial TUR" w:eastAsia="Times New Roman" w:hAnsi="Arial TUR" w:cs="FrankRuehl" w:hint="cs"/>
          <w:spacing w:val="10"/>
          <w:sz w:val="28"/>
          <w:szCs w:val="28"/>
          <w:rtl/>
        </w:rPr>
        <w:t xml:space="preserve">), עתרו המערערות לבית המשפט המחוזי בבאר שבע, בשבתו כבית משפט לעניינים </w:t>
      </w:r>
      <w:proofErr w:type="spellStart"/>
      <w:r w:rsidRPr="001D7814">
        <w:rPr>
          <w:rFonts w:ascii="Arial TUR" w:eastAsia="Times New Roman" w:hAnsi="Arial TUR" w:cs="FrankRuehl" w:hint="cs"/>
          <w:spacing w:val="10"/>
          <w:sz w:val="28"/>
          <w:szCs w:val="28"/>
          <w:rtl/>
        </w:rPr>
        <w:t>מינהליים</w:t>
      </w:r>
      <w:proofErr w:type="spellEnd"/>
      <w:r w:rsidRPr="001D7814">
        <w:rPr>
          <w:rFonts w:ascii="Arial TUR" w:eastAsia="Times New Roman" w:hAnsi="Arial TUR" w:cs="FrankRuehl" w:hint="cs"/>
          <w:spacing w:val="10"/>
          <w:sz w:val="28"/>
          <w:szCs w:val="28"/>
          <w:rtl/>
        </w:rPr>
        <w:t xml:space="preserve">, ביום 19.2.08. יצוין, כי המערערות טענו שכניסתן </w:t>
      </w:r>
      <w:proofErr w:type="spellStart"/>
      <w:r w:rsidRPr="001D7814">
        <w:rPr>
          <w:rFonts w:ascii="Arial TUR" w:eastAsia="Times New Roman" w:hAnsi="Arial TUR" w:cs="FrankRuehl" w:hint="cs"/>
          <w:spacing w:val="10"/>
          <w:sz w:val="28"/>
          <w:szCs w:val="28"/>
          <w:rtl/>
        </w:rPr>
        <w:t>למקואות</w:t>
      </w:r>
      <w:proofErr w:type="spellEnd"/>
      <w:r w:rsidRPr="001D7814">
        <w:rPr>
          <w:rFonts w:ascii="Arial TUR" w:eastAsia="Times New Roman" w:hAnsi="Arial TUR" w:cs="FrankRuehl" w:hint="cs"/>
          <w:spacing w:val="10"/>
          <w:sz w:val="28"/>
          <w:szCs w:val="28"/>
          <w:rtl/>
        </w:rPr>
        <w:t xml:space="preserve"> ככלל אינה מתאפשרת – למעט </w:t>
      </w:r>
      <w:proofErr w:type="spellStart"/>
      <w:r w:rsidRPr="001D7814">
        <w:rPr>
          <w:rFonts w:ascii="Arial TUR" w:eastAsia="Times New Roman" w:hAnsi="Arial TUR" w:cs="FrankRuehl" w:hint="cs"/>
          <w:spacing w:val="10"/>
          <w:sz w:val="28"/>
          <w:szCs w:val="28"/>
          <w:rtl/>
        </w:rPr>
        <w:t>מקוה</w:t>
      </w:r>
      <w:proofErr w:type="spellEnd"/>
      <w:r w:rsidRPr="001D7814">
        <w:rPr>
          <w:rFonts w:ascii="Arial TUR" w:eastAsia="Times New Roman" w:hAnsi="Arial TUR" w:cs="FrankRuehl" w:hint="cs"/>
          <w:spacing w:val="10"/>
          <w:sz w:val="28"/>
          <w:szCs w:val="28"/>
          <w:rtl/>
        </w:rPr>
        <w:t xml:space="preserve"> אחד בקיבוץ חנתון (קיבוץ קונסרבטיבי) אשר בצפון הארץ – והן נאלצות לערוך את טבילת הגיור במקומות אחרים, דוגמת הים התיכון. בית המשפט לעניינים </w:t>
      </w:r>
      <w:proofErr w:type="spellStart"/>
      <w:r w:rsidRPr="001D7814">
        <w:rPr>
          <w:rFonts w:ascii="Arial TUR" w:eastAsia="Times New Roman" w:hAnsi="Arial TUR" w:cs="FrankRuehl" w:hint="cs"/>
          <w:spacing w:val="10"/>
          <w:sz w:val="28"/>
          <w:szCs w:val="28"/>
          <w:rtl/>
        </w:rPr>
        <w:t>מינהליים</w:t>
      </w:r>
      <w:proofErr w:type="spellEnd"/>
      <w:r w:rsidRPr="001D7814">
        <w:rPr>
          <w:rFonts w:ascii="Arial TUR" w:eastAsia="Times New Roman" w:hAnsi="Arial TUR" w:cs="FrankRuehl" w:hint="cs"/>
          <w:spacing w:val="10"/>
          <w:sz w:val="28"/>
          <w:szCs w:val="28"/>
          <w:rtl/>
        </w:rPr>
        <w:t xml:space="preserve"> דחה את העתירה ביום 15.3.10. נקבע, כי ישנה הבחנה רלבנטית בין מערך הגיור </w:t>
      </w:r>
      <w:r w:rsidRPr="001D7814">
        <w:rPr>
          <w:rFonts w:ascii="Arial TUR" w:eastAsia="Times New Roman" w:hAnsi="Arial TUR" w:cs="Miriam" w:hint="cs"/>
          <w:sz w:val="24"/>
          <w:szCs w:val="24"/>
          <w:rtl/>
        </w:rPr>
        <w:t>הממלכתי</w:t>
      </w:r>
      <w:r w:rsidRPr="001D7814">
        <w:rPr>
          <w:rFonts w:ascii="Arial TUR" w:eastAsia="Times New Roman" w:hAnsi="Arial TUR" w:cs="FrankRuehl" w:hint="cs"/>
          <w:spacing w:val="10"/>
          <w:sz w:val="28"/>
          <w:szCs w:val="28"/>
          <w:rtl/>
        </w:rPr>
        <w:t xml:space="preserve"> – לו ניתנת גישה </w:t>
      </w:r>
      <w:proofErr w:type="spellStart"/>
      <w:r w:rsidRPr="001D7814">
        <w:rPr>
          <w:rFonts w:ascii="Arial TUR" w:eastAsia="Times New Roman" w:hAnsi="Arial TUR" w:cs="FrankRuehl" w:hint="cs"/>
          <w:spacing w:val="10"/>
          <w:sz w:val="28"/>
          <w:szCs w:val="28"/>
          <w:rtl/>
        </w:rPr>
        <w:t>למקואות</w:t>
      </w:r>
      <w:proofErr w:type="spellEnd"/>
      <w:r w:rsidRPr="001D7814">
        <w:rPr>
          <w:rFonts w:ascii="Arial TUR" w:eastAsia="Times New Roman" w:hAnsi="Arial TUR" w:cs="FrankRuehl" w:hint="cs"/>
          <w:spacing w:val="10"/>
          <w:sz w:val="28"/>
          <w:szCs w:val="28"/>
          <w:rtl/>
        </w:rPr>
        <w:t xml:space="preserve"> לשם עריכת גיורים – לבין מערך הגיור </w:t>
      </w:r>
      <w:r w:rsidRPr="001D7814">
        <w:rPr>
          <w:rFonts w:ascii="Arial TUR" w:eastAsia="Times New Roman" w:hAnsi="Arial TUR" w:cs="Miriam" w:hint="cs"/>
          <w:sz w:val="24"/>
          <w:szCs w:val="24"/>
          <w:rtl/>
        </w:rPr>
        <w:t>הפרטי</w:t>
      </w:r>
      <w:r w:rsidRPr="001D7814">
        <w:rPr>
          <w:rFonts w:ascii="Arial TUR" w:eastAsia="Times New Roman" w:hAnsi="Arial TUR" w:cs="FrankRuehl" w:hint="cs"/>
          <w:spacing w:val="10"/>
          <w:sz w:val="28"/>
          <w:szCs w:val="28"/>
          <w:rtl/>
        </w:rPr>
        <w:t xml:space="preserve"> שמפעילות המערערות. הבחנה נוספת שצוינה היא בין גיור בעל נפקות משפטית (הגיור הממלכתי) לבין גיור שאינו בעל נפקות משפטית (הגיור הפרטי). כן נקבע, כי נושא הטבילה לשם גיור אינו כלול בתחום שירותי הדת אשר המועצה הדתית מחויבת לספקו על-פי חוק. ערעור על פסק-דינו של בית המשפט המחוזי הוגש לבית משפט זה ביום 5.8.10, לאחר שהתקבלה בקשת המערערות להארכת המועד להגשתו.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Times New Roman" w:eastAsia="Times New Roman" w:hAnsi="Times New Roman" w:cs="Times New Roman"/>
          <w:sz w:val="28"/>
          <w:szCs w:val="28"/>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Miriam" w:hint="cs"/>
          <w:sz w:val="24"/>
          <w:szCs w:val="24"/>
          <w:rtl/>
        </w:rPr>
        <w:t>טענות הצדדים</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Miriam" w:hint="cs"/>
          <w:sz w:val="24"/>
          <w:szCs w:val="24"/>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ג.</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לטענת המערערות, טבילה לצרכי גיור היא "שירות דת" לעניין חוק שירותי הדת היהודיים (נוסח משולב), תשל"א-1971 (להלן </w:t>
      </w:r>
      <w:r w:rsidRPr="001D7814">
        <w:rPr>
          <w:rFonts w:ascii="Arial TUR" w:eastAsia="Times New Roman" w:hAnsi="Arial TUR" w:cs="Miriam" w:hint="cs"/>
          <w:sz w:val="24"/>
          <w:szCs w:val="24"/>
          <w:rtl/>
        </w:rPr>
        <w:t>חוק שירותי הדת</w:t>
      </w:r>
      <w:r w:rsidRPr="001D7814">
        <w:rPr>
          <w:rFonts w:ascii="Arial TUR" w:eastAsia="Times New Roman" w:hAnsi="Arial TUR" w:cs="FrankRuehl" w:hint="cs"/>
          <w:spacing w:val="10"/>
          <w:sz w:val="28"/>
          <w:szCs w:val="28"/>
          <w:rtl/>
        </w:rPr>
        <w:t xml:space="preserve">), ולפיכך על המשיבה 1 לספקו. לשיטתן, הפעלת </w:t>
      </w:r>
      <w:proofErr w:type="spellStart"/>
      <w:r w:rsidRPr="001D7814">
        <w:rPr>
          <w:rFonts w:ascii="Arial TUR" w:eastAsia="Times New Roman" w:hAnsi="Arial TUR" w:cs="FrankRuehl" w:hint="cs"/>
          <w:spacing w:val="10"/>
          <w:sz w:val="28"/>
          <w:szCs w:val="28"/>
          <w:rtl/>
        </w:rPr>
        <w:t>המקואות</w:t>
      </w:r>
      <w:proofErr w:type="spellEnd"/>
      <w:r w:rsidRPr="001D7814">
        <w:rPr>
          <w:rFonts w:ascii="Arial TUR" w:eastAsia="Times New Roman" w:hAnsi="Arial TUR" w:cs="FrankRuehl" w:hint="cs"/>
          <w:spacing w:val="10"/>
          <w:sz w:val="28"/>
          <w:szCs w:val="28"/>
          <w:rtl/>
        </w:rPr>
        <w:t xml:space="preserve"> נעשית מכוח חוק זה, ואין סיבה להפריד בין שימוש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לעניין גיור לבין שימוש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לצרכי טהרה אחרים. עוד נטען, כי המשיבים נוקטים הפליה פסולה מקום שהם מאפשרים לגרים מטעם מערך הגיור הממשלתי לטבול </w:t>
      </w:r>
      <w:proofErr w:type="spellStart"/>
      <w:r w:rsidRPr="001D7814">
        <w:rPr>
          <w:rFonts w:ascii="Arial TUR" w:eastAsia="Times New Roman" w:hAnsi="Arial TUR" w:cs="FrankRuehl" w:hint="cs"/>
          <w:spacing w:val="10"/>
          <w:sz w:val="28"/>
          <w:szCs w:val="28"/>
          <w:rtl/>
        </w:rPr>
        <w:t>במקואותיהם</w:t>
      </w:r>
      <w:proofErr w:type="spellEnd"/>
      <w:r w:rsidRPr="001D7814">
        <w:rPr>
          <w:rFonts w:ascii="Arial TUR" w:eastAsia="Times New Roman" w:hAnsi="Arial TUR" w:cs="FrankRuehl" w:hint="cs"/>
          <w:spacing w:val="10"/>
          <w:sz w:val="28"/>
          <w:szCs w:val="28"/>
          <w:rtl/>
        </w:rPr>
        <w:t xml:space="preserve">, אך אוסרים זאת על המתגיירים מטעם המערערות. מעבר לפגיעה העקרונית בערך </w:t>
      </w:r>
      <w:proofErr w:type="spellStart"/>
      <w:r w:rsidRPr="001D7814">
        <w:rPr>
          <w:rFonts w:ascii="Arial TUR" w:eastAsia="Times New Roman" w:hAnsi="Arial TUR" w:cs="FrankRuehl" w:hint="cs"/>
          <w:spacing w:val="10"/>
          <w:sz w:val="28"/>
          <w:szCs w:val="28"/>
          <w:rtl/>
        </w:rPr>
        <w:t>השויון</w:t>
      </w:r>
      <w:proofErr w:type="spellEnd"/>
      <w:r w:rsidRPr="001D7814">
        <w:rPr>
          <w:rFonts w:ascii="Arial TUR" w:eastAsia="Times New Roman" w:hAnsi="Arial TUR" w:cs="FrankRuehl" w:hint="cs"/>
          <w:spacing w:val="10"/>
          <w:sz w:val="28"/>
          <w:szCs w:val="28"/>
          <w:rtl/>
        </w:rPr>
        <w:t xml:space="preserve">, נטענת גם עבירה על חוק איסור הפליה במוצרים, בשירותים ובכניסה למקומות בידור ולמקומות ציבוריים, התשס"א-2000 (להלן </w:t>
      </w:r>
      <w:r w:rsidRPr="001D7814">
        <w:rPr>
          <w:rFonts w:ascii="Arial TUR" w:eastAsia="Times New Roman" w:hAnsi="Arial TUR" w:cs="Miriam" w:hint="cs"/>
          <w:sz w:val="24"/>
          <w:szCs w:val="24"/>
          <w:rtl/>
        </w:rPr>
        <w:t>חוק איסור הפליה</w:t>
      </w:r>
      <w:r w:rsidRPr="001D7814">
        <w:rPr>
          <w:rFonts w:ascii="Arial TUR" w:eastAsia="Times New Roman" w:hAnsi="Arial TUR" w:cs="FrankRuehl" w:hint="cs"/>
          <w:spacing w:val="10"/>
          <w:sz w:val="28"/>
          <w:szCs w:val="28"/>
          <w:rtl/>
        </w:rPr>
        <w:t xml:space="preserve">). לשיטת המערערות, ההבחנה שעורכים המשיבים בין גיור </w:t>
      </w:r>
      <w:r w:rsidRPr="001D7814">
        <w:rPr>
          <w:rFonts w:ascii="Arial TUR" w:eastAsia="Times New Roman" w:hAnsi="Arial TUR" w:cs="Miriam" w:hint="cs"/>
          <w:sz w:val="24"/>
          <w:szCs w:val="24"/>
          <w:rtl/>
        </w:rPr>
        <w:t>ממלכתי</w:t>
      </w:r>
      <w:r w:rsidRPr="001D7814">
        <w:rPr>
          <w:rFonts w:ascii="Arial TUR" w:eastAsia="Times New Roman" w:hAnsi="Arial TUR" w:cs="FrankRuehl" w:hint="cs"/>
          <w:spacing w:val="10"/>
          <w:sz w:val="28"/>
          <w:szCs w:val="28"/>
          <w:rtl/>
        </w:rPr>
        <w:t xml:space="preserve"> לגיור </w:t>
      </w:r>
      <w:r w:rsidRPr="001D7814">
        <w:rPr>
          <w:rFonts w:ascii="Arial TUR" w:eastAsia="Times New Roman" w:hAnsi="Arial TUR" w:cs="Miriam" w:hint="cs"/>
          <w:sz w:val="24"/>
          <w:szCs w:val="24"/>
          <w:rtl/>
        </w:rPr>
        <w:t>פרטי</w:t>
      </w:r>
      <w:r w:rsidRPr="001D7814">
        <w:rPr>
          <w:rFonts w:ascii="Arial TUR" w:eastAsia="Times New Roman" w:hAnsi="Arial TUR" w:cs="FrankRuehl" w:hint="cs"/>
          <w:spacing w:val="10"/>
          <w:sz w:val="28"/>
          <w:szCs w:val="28"/>
          <w:rtl/>
        </w:rPr>
        <w:t xml:space="preserve"> אינה רלבנטית בנסיבות – ולכן היא פסולה. טענה דומה נטענה גם בנוגע להבחנה שעורכים המשיבים בין גיור בעל נפקות משפטית לבין גיור שאינו בעל נפקות משפטית. לשיטת המערערות, על המשיבים לאפשר למתגיירים </w:t>
      </w:r>
      <w:r w:rsidRPr="001D7814">
        <w:rPr>
          <w:rFonts w:ascii="Arial TUR" w:eastAsia="Times New Roman" w:hAnsi="Arial TUR" w:cs="FrankRuehl" w:hint="cs"/>
          <w:spacing w:val="10"/>
          <w:sz w:val="28"/>
          <w:szCs w:val="28"/>
          <w:rtl/>
        </w:rPr>
        <w:lastRenderedPageBreak/>
        <w:t xml:space="preserve">לטבול </w:t>
      </w:r>
      <w:proofErr w:type="spellStart"/>
      <w:r w:rsidRPr="001D7814">
        <w:rPr>
          <w:rFonts w:ascii="Arial TUR" w:eastAsia="Times New Roman" w:hAnsi="Arial TUR" w:cs="FrankRuehl" w:hint="cs"/>
          <w:spacing w:val="10"/>
          <w:sz w:val="28"/>
          <w:szCs w:val="28"/>
          <w:rtl/>
        </w:rPr>
        <w:t>במקוה</w:t>
      </w:r>
      <w:proofErr w:type="spellEnd"/>
      <w:r w:rsidRPr="001D7814">
        <w:rPr>
          <w:rFonts w:ascii="Arial TUR" w:eastAsia="Times New Roman" w:hAnsi="Arial TUR" w:cs="FrankRuehl" w:hint="cs"/>
          <w:spacing w:val="10"/>
          <w:sz w:val="28"/>
          <w:szCs w:val="28"/>
          <w:rtl/>
        </w:rPr>
        <w:t xml:space="preserve">, בין שמדובר בחלק מהליך שישנה את מעמדם המשפטי (לדוגמה – לעניין חוק השבות) ובין אם לאו. עוד טוענות המערערות, כי לא ניתן משקל הולם לחופש הדת ועקרון הפלורליזם, התומכים במתן גישה </w:t>
      </w:r>
      <w:proofErr w:type="spellStart"/>
      <w:r w:rsidRPr="001D7814">
        <w:rPr>
          <w:rFonts w:ascii="Arial TUR" w:eastAsia="Times New Roman" w:hAnsi="Arial TUR" w:cs="FrankRuehl" w:hint="cs"/>
          <w:spacing w:val="10"/>
          <w:sz w:val="28"/>
          <w:szCs w:val="28"/>
          <w:rtl/>
        </w:rPr>
        <w:t>למקוה</w:t>
      </w:r>
      <w:proofErr w:type="spellEnd"/>
      <w:r w:rsidRPr="001D7814">
        <w:rPr>
          <w:rFonts w:ascii="Arial TUR" w:eastAsia="Times New Roman" w:hAnsi="Arial TUR" w:cs="FrankRuehl" w:hint="cs"/>
          <w:spacing w:val="10"/>
          <w:sz w:val="28"/>
          <w:szCs w:val="28"/>
          <w:rtl/>
        </w:rPr>
        <w:t xml:space="preserve"> למבקשים להתגייר. לטענת המערערות, המשיבים אינם יכולים להיתלות בסעיף 6א לחוק שירותי הדת – המורה, כי המועצה הדתית תפעל לפי פסיקת הרבנות הראשית – להצדקת החלטתן; שכן, לשיטת המערערות, הסעיף רלבנטי </w:t>
      </w:r>
      <w:r w:rsidRPr="001D7814">
        <w:rPr>
          <w:rFonts w:ascii="Arial TUR" w:eastAsia="Times New Roman" w:hAnsi="Arial TUR" w:cs="Miriam" w:hint="cs"/>
          <w:sz w:val="24"/>
          <w:szCs w:val="24"/>
          <w:rtl/>
        </w:rPr>
        <w:t>להקמת</w:t>
      </w:r>
      <w:r w:rsidRPr="001D7814">
        <w:rPr>
          <w:rFonts w:ascii="Arial TUR" w:eastAsia="Times New Roman" w:hAnsi="Arial TUR" w:cs="FrankRuehl" w:hint="cs"/>
          <w:spacing w:val="10"/>
          <w:sz w:val="28"/>
          <w:szCs w:val="28"/>
          <w:rtl/>
        </w:rPr>
        <w:t xml:space="preserve"> </w:t>
      </w:r>
      <w:proofErr w:type="spellStart"/>
      <w:r w:rsidRPr="001D7814">
        <w:rPr>
          <w:rFonts w:ascii="Arial TUR" w:eastAsia="Times New Roman" w:hAnsi="Arial TUR" w:cs="FrankRuehl" w:hint="cs"/>
          <w:spacing w:val="10"/>
          <w:sz w:val="28"/>
          <w:szCs w:val="28"/>
          <w:rtl/>
        </w:rPr>
        <w:t>המקואות</w:t>
      </w:r>
      <w:proofErr w:type="spellEnd"/>
      <w:r w:rsidRPr="001D7814">
        <w:rPr>
          <w:rFonts w:ascii="Arial TUR" w:eastAsia="Times New Roman" w:hAnsi="Arial TUR" w:cs="FrankRuehl" w:hint="cs"/>
          <w:spacing w:val="10"/>
          <w:sz w:val="28"/>
          <w:szCs w:val="28"/>
          <w:rtl/>
        </w:rPr>
        <w:t xml:space="preserve">, אך אינו יכול להכשיר </w:t>
      </w:r>
      <w:r w:rsidRPr="001D7814">
        <w:rPr>
          <w:rFonts w:ascii="Arial TUR" w:eastAsia="Times New Roman" w:hAnsi="Arial TUR" w:cs="Miriam" w:hint="cs"/>
          <w:sz w:val="24"/>
          <w:szCs w:val="24"/>
          <w:rtl/>
        </w:rPr>
        <w:t>הפליה</w:t>
      </w:r>
      <w:r w:rsidRPr="001D7814">
        <w:rPr>
          <w:rFonts w:ascii="Arial TUR" w:eastAsia="Times New Roman" w:hAnsi="Arial TUR" w:cs="FrankRuehl" w:hint="cs"/>
          <w:spacing w:val="10"/>
          <w:sz w:val="28"/>
          <w:szCs w:val="28"/>
          <w:rtl/>
        </w:rPr>
        <w:t>.</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ד.</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המשיבה 1 הדגישה, כי אין היא מונעת מאנשים פרטיים לטבול </w:t>
      </w:r>
      <w:proofErr w:type="spellStart"/>
      <w:r w:rsidRPr="001D7814">
        <w:rPr>
          <w:rFonts w:ascii="Arial TUR" w:eastAsia="Times New Roman" w:hAnsi="Arial TUR" w:cs="FrankRuehl" w:hint="cs"/>
          <w:spacing w:val="10"/>
          <w:sz w:val="28"/>
          <w:szCs w:val="28"/>
          <w:rtl/>
        </w:rPr>
        <w:t>במקוה</w:t>
      </w:r>
      <w:proofErr w:type="spellEnd"/>
      <w:r w:rsidRPr="001D7814">
        <w:rPr>
          <w:rFonts w:ascii="Arial TUR" w:eastAsia="Times New Roman" w:hAnsi="Arial TUR" w:cs="FrankRuehl" w:hint="cs"/>
          <w:spacing w:val="10"/>
          <w:sz w:val="28"/>
          <w:szCs w:val="28"/>
          <w:rtl/>
        </w:rPr>
        <w:t xml:space="preserve"> על בסיס הזרם הדתי אליו הם משתייכים; לשיטתה, לא הצביעו המערערות על מקרה קונקרטי בו נמנעה הגישה </w:t>
      </w:r>
      <w:proofErr w:type="spellStart"/>
      <w:r w:rsidRPr="001D7814">
        <w:rPr>
          <w:rFonts w:ascii="Arial TUR" w:eastAsia="Times New Roman" w:hAnsi="Arial TUR" w:cs="FrankRuehl" w:hint="cs"/>
          <w:spacing w:val="10"/>
          <w:sz w:val="28"/>
          <w:szCs w:val="28"/>
          <w:rtl/>
        </w:rPr>
        <w:t>למקוה</w:t>
      </w:r>
      <w:proofErr w:type="spellEnd"/>
      <w:r w:rsidRPr="001D7814">
        <w:rPr>
          <w:rFonts w:ascii="Arial TUR" w:eastAsia="Times New Roman" w:hAnsi="Arial TUR" w:cs="FrankRuehl" w:hint="cs"/>
          <w:spacing w:val="10"/>
          <w:sz w:val="28"/>
          <w:szCs w:val="28"/>
          <w:rtl/>
        </w:rPr>
        <w:t xml:space="preserve">. בנוסף, לשיטתה, אין היא מחויבת לספק שירות של טבילה לצורך גיור פרטי, ואין מדובר בהפליה. המשרד לשירותי דת (להלן </w:t>
      </w:r>
      <w:r w:rsidRPr="001D7814">
        <w:rPr>
          <w:rFonts w:ascii="Arial TUR" w:eastAsia="Times New Roman" w:hAnsi="Arial TUR" w:cs="Miriam" w:hint="cs"/>
          <w:sz w:val="24"/>
          <w:szCs w:val="24"/>
          <w:rtl/>
        </w:rPr>
        <w:t>המשיב 2</w:t>
      </w:r>
      <w:r w:rsidRPr="001D7814">
        <w:rPr>
          <w:rFonts w:ascii="Arial TUR" w:eastAsia="Times New Roman" w:hAnsi="Arial TUR" w:cs="FrankRuehl" w:hint="cs"/>
          <w:spacing w:val="10"/>
          <w:sz w:val="28"/>
          <w:szCs w:val="28"/>
          <w:rtl/>
        </w:rPr>
        <w:t>) טוען גם הוא, כי גיור אינו בגדר "שירות דת". לשיטתו, הטבילה היא חלק אינהרנטי מן הגיור – אשר אינו "שירות דת" – ולפיכך אין חובה לאפשר טבילה הנעשית במסגרת גיור. עוד נטען, כי ישנה הבחנה רלבנטית בין הגיור הממלכתי – לו רשאית המשיבה 1 לספק שירותי טבילה – לבין הגיור הפרטי; זאת שכן הגיור הממלכתי, בניגוד לפרטי, הוא מפוקח, בעל "</w:t>
      </w:r>
      <w:proofErr w:type="spellStart"/>
      <w:r w:rsidRPr="001D7814">
        <w:rPr>
          <w:rFonts w:ascii="Arial TUR" w:eastAsia="Times New Roman" w:hAnsi="Arial TUR" w:cs="FrankRuehl" w:hint="cs"/>
          <w:spacing w:val="10"/>
          <w:sz w:val="28"/>
          <w:szCs w:val="28"/>
          <w:rtl/>
        </w:rPr>
        <w:t>מימד</w:t>
      </w:r>
      <w:proofErr w:type="spellEnd"/>
      <w:r w:rsidRPr="001D7814">
        <w:rPr>
          <w:rFonts w:ascii="Arial TUR" w:eastAsia="Times New Roman" w:hAnsi="Arial TUR" w:cs="FrankRuehl" w:hint="cs"/>
          <w:spacing w:val="10"/>
          <w:sz w:val="28"/>
          <w:szCs w:val="28"/>
          <w:rtl/>
        </w:rPr>
        <w:t xml:space="preserve"> ציבורי" ונפקות משפטית. לשיטת המשיב 2, גם אם המדיניות פוגעת במידה מסוימת בחופש הדת והפולחן, מדובר בפגיעה שאינה מצדיקה את התערבות בית המשפט; שכן הטבילה היא אירוע יחיד וחד-פעמי למתגייר, ולכן הטרחה שנוצרת בנסיעה </w:t>
      </w:r>
      <w:proofErr w:type="spellStart"/>
      <w:r w:rsidRPr="001D7814">
        <w:rPr>
          <w:rFonts w:ascii="Arial TUR" w:eastAsia="Times New Roman" w:hAnsi="Arial TUR" w:cs="FrankRuehl" w:hint="cs"/>
          <w:spacing w:val="10"/>
          <w:sz w:val="28"/>
          <w:szCs w:val="28"/>
          <w:rtl/>
        </w:rPr>
        <w:t>למקוה</w:t>
      </w:r>
      <w:proofErr w:type="spellEnd"/>
      <w:r w:rsidRPr="001D7814">
        <w:rPr>
          <w:rFonts w:ascii="Arial TUR" w:eastAsia="Times New Roman" w:hAnsi="Arial TUR" w:cs="FrankRuehl" w:hint="cs"/>
          <w:spacing w:val="10"/>
          <w:sz w:val="28"/>
          <w:szCs w:val="28"/>
          <w:rtl/>
        </w:rPr>
        <w:t xml:space="preserve"> מרוחק המקבל אותו – כזכור, המערערות ציינו שניתנת להן גישה </w:t>
      </w:r>
      <w:proofErr w:type="spellStart"/>
      <w:r w:rsidRPr="001D7814">
        <w:rPr>
          <w:rFonts w:ascii="Arial TUR" w:eastAsia="Times New Roman" w:hAnsi="Arial TUR" w:cs="FrankRuehl" w:hint="cs"/>
          <w:spacing w:val="10"/>
          <w:sz w:val="28"/>
          <w:szCs w:val="28"/>
          <w:rtl/>
        </w:rPr>
        <w:t>למקוה</w:t>
      </w:r>
      <w:proofErr w:type="spellEnd"/>
      <w:r w:rsidRPr="001D7814">
        <w:rPr>
          <w:rFonts w:ascii="Arial TUR" w:eastAsia="Times New Roman" w:hAnsi="Arial TUR" w:cs="FrankRuehl" w:hint="cs"/>
          <w:spacing w:val="10"/>
          <w:sz w:val="28"/>
          <w:szCs w:val="28"/>
          <w:rtl/>
        </w:rPr>
        <w:t xml:space="preserve"> אחד אשר ממוקם בקיבוץ חנתון – אינה מהוה פגיעה חמורה בזכויותיו. באשר לחוק איסור הפליה נטען, כי הנידון </w:t>
      </w:r>
      <w:proofErr w:type="spellStart"/>
      <w:r w:rsidRPr="001D7814">
        <w:rPr>
          <w:rFonts w:ascii="Arial TUR" w:eastAsia="Times New Roman" w:hAnsi="Arial TUR" w:cs="FrankRuehl" w:hint="cs"/>
          <w:spacing w:val="10"/>
          <w:sz w:val="28"/>
          <w:szCs w:val="28"/>
          <w:rtl/>
        </w:rPr>
        <w:t>דידן</w:t>
      </w:r>
      <w:proofErr w:type="spellEnd"/>
      <w:r w:rsidRPr="001D7814">
        <w:rPr>
          <w:rFonts w:ascii="Arial TUR" w:eastAsia="Times New Roman" w:hAnsi="Arial TUR" w:cs="FrankRuehl" w:hint="cs"/>
          <w:spacing w:val="10"/>
          <w:sz w:val="28"/>
          <w:szCs w:val="28"/>
          <w:rtl/>
        </w:rPr>
        <w:t xml:space="preserve"> נופל בגדרי החריג הקבוע בסעיף 3(ד)(1), לפיו "אין רואים הפליה לפי סעיף זה – כאשר הדבר מתחייב מאופיו או ממהותו של המוצר [...]". כן נטען, כי על המשיבה 1 להפעיל את </w:t>
      </w:r>
      <w:proofErr w:type="spellStart"/>
      <w:r w:rsidRPr="001D7814">
        <w:rPr>
          <w:rFonts w:ascii="Arial TUR" w:eastAsia="Times New Roman" w:hAnsi="Arial TUR" w:cs="FrankRuehl" w:hint="cs"/>
          <w:spacing w:val="10"/>
          <w:sz w:val="28"/>
          <w:szCs w:val="28"/>
          <w:rtl/>
        </w:rPr>
        <w:t>המקואות</w:t>
      </w:r>
      <w:proofErr w:type="spellEnd"/>
      <w:r w:rsidRPr="001D7814">
        <w:rPr>
          <w:rFonts w:ascii="Arial TUR" w:eastAsia="Times New Roman" w:hAnsi="Arial TUR" w:cs="FrankRuehl" w:hint="cs"/>
          <w:spacing w:val="10"/>
          <w:sz w:val="28"/>
          <w:szCs w:val="28"/>
          <w:rtl/>
        </w:rPr>
        <w:t xml:space="preserve"> שבתחומה בהתאם להנחיות הרבנות הראשית, כפי שנקבע בסעיף 6א לחוק שירותי הדת, והדבר אינו מתיישב עם דרישת המערערות.</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ה.</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בסיכומי תשובה מטעם המערערות נטען, כי כפי שאין להפלות בתמיכה בפעולות הכנה לגיור (כך נקבע בבג"ץ 11585/05 </w:t>
      </w:r>
      <w:r w:rsidRPr="001D7814">
        <w:rPr>
          <w:rFonts w:ascii="Arial TUR" w:eastAsia="Times New Roman" w:hAnsi="Arial TUR" w:cs="Miriam" w:hint="cs"/>
          <w:sz w:val="24"/>
          <w:szCs w:val="24"/>
          <w:rtl/>
        </w:rPr>
        <w:t>התנועה ליהדות מתקדמת נ' המשרד לקליטת עליה</w:t>
      </w:r>
      <w:r w:rsidRPr="001D7814">
        <w:rPr>
          <w:rFonts w:ascii="Arial TUR" w:eastAsia="Times New Roman" w:hAnsi="Arial TUR" w:cs="FrankRuehl" w:hint="cs"/>
          <w:spacing w:val="10"/>
          <w:sz w:val="28"/>
          <w:szCs w:val="28"/>
          <w:rtl/>
        </w:rPr>
        <w:t xml:space="preserve"> (2009)), כך אין להפלות בכניסה </w:t>
      </w:r>
      <w:proofErr w:type="spellStart"/>
      <w:r w:rsidRPr="001D7814">
        <w:rPr>
          <w:rFonts w:ascii="Arial TUR" w:eastAsia="Times New Roman" w:hAnsi="Arial TUR" w:cs="FrankRuehl" w:hint="cs"/>
          <w:spacing w:val="10"/>
          <w:sz w:val="28"/>
          <w:szCs w:val="28"/>
          <w:rtl/>
        </w:rPr>
        <w:t>למקואות</w:t>
      </w:r>
      <w:proofErr w:type="spellEnd"/>
      <w:r w:rsidRPr="001D7814">
        <w:rPr>
          <w:rFonts w:ascii="Arial TUR" w:eastAsia="Times New Roman" w:hAnsi="Arial TUR" w:cs="FrankRuehl" w:hint="cs"/>
          <w:spacing w:val="10"/>
          <w:sz w:val="28"/>
          <w:szCs w:val="28"/>
          <w:rtl/>
        </w:rPr>
        <w:t xml:space="preserve"> לשם עריכת הגיור. הודגש, כי המבקשים להתגייר מטעם המערערות הם אזרחים ותושבים ישראלים בלבד. נטען, כי אין אפשרות להתגייר באופן שאינו אורתודוכסי במסגרת מערך הגיור הממלכתי, וכי המדינה אינה מקדמת מסלול גיור ממלכתי שאינו אורתודוכסי. כן נדחו, לטענת המערערות, הצעותיהן להקמת </w:t>
      </w:r>
      <w:proofErr w:type="spellStart"/>
      <w:r w:rsidRPr="001D7814">
        <w:rPr>
          <w:rFonts w:ascii="Arial TUR" w:eastAsia="Times New Roman" w:hAnsi="Arial TUR" w:cs="FrankRuehl" w:hint="cs"/>
          <w:spacing w:val="10"/>
          <w:sz w:val="28"/>
          <w:szCs w:val="28"/>
          <w:rtl/>
        </w:rPr>
        <w:t>מקואות</w:t>
      </w:r>
      <w:proofErr w:type="spellEnd"/>
      <w:r w:rsidRPr="001D7814">
        <w:rPr>
          <w:rFonts w:ascii="Arial TUR" w:eastAsia="Times New Roman" w:hAnsi="Arial TUR" w:cs="FrankRuehl" w:hint="cs"/>
          <w:spacing w:val="10"/>
          <w:sz w:val="28"/>
          <w:szCs w:val="28"/>
          <w:rtl/>
        </w:rPr>
        <w:t xml:space="preserve"> לשימושן או הקצאת </w:t>
      </w:r>
      <w:proofErr w:type="spellStart"/>
      <w:r w:rsidRPr="001D7814">
        <w:rPr>
          <w:rFonts w:ascii="Arial TUR" w:eastAsia="Times New Roman" w:hAnsi="Arial TUR" w:cs="FrankRuehl" w:hint="cs"/>
          <w:spacing w:val="10"/>
          <w:sz w:val="28"/>
          <w:szCs w:val="28"/>
          <w:rtl/>
        </w:rPr>
        <w:t>מקואות</w:t>
      </w:r>
      <w:proofErr w:type="spellEnd"/>
      <w:r w:rsidRPr="001D7814">
        <w:rPr>
          <w:rFonts w:ascii="Arial TUR" w:eastAsia="Times New Roman" w:hAnsi="Arial TUR" w:cs="FrankRuehl" w:hint="cs"/>
          <w:spacing w:val="10"/>
          <w:sz w:val="28"/>
          <w:szCs w:val="28"/>
          <w:rtl/>
        </w:rPr>
        <w:t xml:space="preserve"> קיימים למטרה זו. המערערות טוענות, כי אין זה סביר שתושבי הדרום המבקשים להתגייר באמצעותן ייאלצו לנסוע עד קיבוץ חנתון אשר בצפון לשם הטבילה, שעה שבבאר שבע יש 13 </w:t>
      </w:r>
      <w:proofErr w:type="spellStart"/>
      <w:r w:rsidRPr="001D7814">
        <w:rPr>
          <w:rFonts w:ascii="Arial TUR" w:eastAsia="Times New Roman" w:hAnsi="Arial TUR" w:cs="FrankRuehl" w:hint="cs"/>
          <w:spacing w:val="10"/>
          <w:sz w:val="28"/>
          <w:szCs w:val="28"/>
          <w:rtl/>
        </w:rPr>
        <w:t>מקואות</w:t>
      </w:r>
      <w:proofErr w:type="spellEnd"/>
      <w:r w:rsidRPr="001D7814">
        <w:rPr>
          <w:rFonts w:ascii="Arial TUR" w:eastAsia="Times New Roman" w:hAnsi="Arial TUR" w:cs="FrankRuehl" w:hint="cs"/>
          <w:spacing w:val="10"/>
          <w:sz w:val="28"/>
          <w:szCs w:val="28"/>
          <w:rtl/>
        </w:rPr>
        <w:t xml:space="preserve"> ציבוריים.</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Miriam" w:hint="cs"/>
          <w:sz w:val="24"/>
          <w:szCs w:val="24"/>
          <w:rtl/>
        </w:rPr>
        <w:t xml:space="preserve">הדיון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ו.</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לאחר בקשות דחיה הגיע התיק לדיון בהרכב (הנשיא </w:t>
      </w:r>
      <w:proofErr w:type="spellStart"/>
      <w:r w:rsidRPr="001D7814">
        <w:rPr>
          <w:rFonts w:ascii="Arial TUR" w:eastAsia="Times New Roman" w:hAnsi="Arial TUR" w:cs="Miriam" w:hint="cs"/>
          <w:sz w:val="24"/>
          <w:szCs w:val="24"/>
          <w:rtl/>
        </w:rPr>
        <w:t>גרוניס</w:t>
      </w:r>
      <w:proofErr w:type="spellEnd"/>
      <w:r w:rsidRPr="001D7814">
        <w:rPr>
          <w:rFonts w:ascii="Arial TUR" w:eastAsia="Times New Roman" w:hAnsi="Arial TUR" w:cs="FrankRuehl" w:hint="cs"/>
          <w:spacing w:val="10"/>
          <w:sz w:val="28"/>
          <w:szCs w:val="28"/>
          <w:rtl/>
        </w:rPr>
        <w:t xml:space="preserve">, המשנה לנשיא – </w:t>
      </w:r>
      <w:proofErr w:type="spellStart"/>
      <w:r w:rsidRPr="001D7814">
        <w:rPr>
          <w:rFonts w:ascii="Arial TUR" w:eastAsia="Times New Roman" w:hAnsi="Arial TUR" w:cs="FrankRuehl" w:hint="cs"/>
          <w:spacing w:val="10"/>
          <w:sz w:val="28"/>
          <w:szCs w:val="28"/>
          <w:rtl/>
        </w:rPr>
        <w:t>כתארה</w:t>
      </w:r>
      <w:proofErr w:type="spellEnd"/>
      <w:r w:rsidRPr="001D7814">
        <w:rPr>
          <w:rFonts w:ascii="Arial TUR" w:eastAsia="Times New Roman" w:hAnsi="Arial TUR" w:cs="FrankRuehl" w:hint="cs"/>
          <w:spacing w:val="10"/>
          <w:sz w:val="28"/>
          <w:szCs w:val="28"/>
          <w:rtl/>
        </w:rPr>
        <w:t xml:space="preserve"> אז – </w:t>
      </w:r>
      <w:r w:rsidRPr="001D7814">
        <w:rPr>
          <w:rFonts w:ascii="Arial TUR" w:eastAsia="Times New Roman" w:hAnsi="Arial TUR" w:cs="Miriam" w:hint="cs"/>
          <w:sz w:val="24"/>
          <w:szCs w:val="24"/>
          <w:rtl/>
        </w:rPr>
        <w:t>נאור</w:t>
      </w:r>
      <w:r w:rsidRPr="001D7814">
        <w:rPr>
          <w:rFonts w:ascii="Arial TUR" w:eastAsia="Times New Roman" w:hAnsi="Arial TUR" w:cs="FrankRuehl" w:hint="cs"/>
          <w:spacing w:val="10"/>
          <w:sz w:val="28"/>
          <w:szCs w:val="28"/>
          <w:rtl/>
        </w:rPr>
        <w:t xml:space="preserve">, וכותב שורות אלה) ביום 26.2.14. מטעם המערערות הודגש, כי מדובר בסוגיה המשפיעה על מספר רב של אנשים – כ-250 איש בשנה. נטען, כי המדינה מנועה מהעלאת טענה של הבחנה ראויה בין גיור פרטי לממלכתי, כיון שהיא מונעת מן המערערות להשתלב בגיור הממלכתי. בא כוח המשיבה 1 טען, כי המצב החוקי הקיים מכוח סעיף 6א לחוק שירותי הדת, אינו מאפשר טבילה לצורך גיור שאינו אורתודוכסי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ציבוריים. בא כוח המשיב 2 חזר על טענתו, לפיה אין חובה על המשיבה 1 לספק למערערות שירותי טבילה לצורך גיור. לשיטתו, המשיבה 1 רשאית לספק שירות דומה למערך הגיור הממלכתי כיוון שמדובר בהקצאת משאב ציבורי (</w:t>
      </w:r>
      <w:proofErr w:type="spellStart"/>
      <w:r w:rsidRPr="001D7814">
        <w:rPr>
          <w:rFonts w:ascii="Arial TUR" w:eastAsia="Times New Roman" w:hAnsi="Arial TUR" w:cs="FrankRuehl" w:hint="cs"/>
          <w:spacing w:val="10"/>
          <w:sz w:val="28"/>
          <w:szCs w:val="28"/>
          <w:rtl/>
        </w:rPr>
        <w:t>המקוה</w:t>
      </w:r>
      <w:proofErr w:type="spellEnd"/>
      <w:r w:rsidRPr="001D7814">
        <w:rPr>
          <w:rFonts w:ascii="Arial TUR" w:eastAsia="Times New Roman" w:hAnsi="Arial TUR" w:cs="FrankRuehl" w:hint="cs"/>
          <w:spacing w:val="10"/>
          <w:sz w:val="28"/>
          <w:szCs w:val="28"/>
          <w:rtl/>
        </w:rPr>
        <w:t xml:space="preserve">) לגורם ציבורי (מערך הגיור הממלכתי). כן נטען, כי יש אינטרס ציבורי בהבחנה בין הגיור הממלכתי לפרטי. הודגש, כי המשיבה 1 אינה מאפשרת טבילה במסגרת גיור פרטי גם כשמדובר בגיור אורתודוכסי. צוין, כי הוגשה הצעת חוק פרטית המבקשת להסדיר את עניין הגיור. לפי המערערות, הצעת חוק זו אינה רלבנטית לעניין גיור פרטי שאינו אורתודוכסי.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Arial TUR"/>
          <w:spacing w:val="10"/>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ז.</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בסוף הדיון ניתנה החלטה המורה על הגשת הודעות עדכון תוך 90 יום, כדי </w:t>
      </w:r>
      <w:proofErr w:type="spellStart"/>
      <w:r w:rsidRPr="001D7814">
        <w:rPr>
          <w:rFonts w:ascii="Arial TUR" w:eastAsia="Times New Roman" w:hAnsi="Arial TUR" w:cs="FrankRuehl" w:hint="cs"/>
          <w:spacing w:val="10"/>
          <w:sz w:val="28"/>
          <w:szCs w:val="28"/>
          <w:rtl/>
        </w:rPr>
        <w:t>ליתן</w:t>
      </w:r>
      <w:proofErr w:type="spellEnd"/>
      <w:r w:rsidRPr="001D7814">
        <w:rPr>
          <w:rFonts w:ascii="Arial TUR" w:eastAsia="Times New Roman" w:hAnsi="Arial TUR" w:cs="FrankRuehl" w:hint="cs"/>
          <w:spacing w:val="10"/>
          <w:sz w:val="28"/>
          <w:szCs w:val="28"/>
          <w:rtl/>
        </w:rPr>
        <w:t xml:space="preserve"> הזדמנות להסכמה בין הצדדים. ביום 10.6.14 הוגשה הודעה מעדכנת מטעם המשיב 2, לפיה נערכה ישיבה בנושא אצל המשנה ליועץ המשפטי לממשלה (אזרחי), שלא בהשתתפות המערערות, והתברר כי קיימות רשויות מקומיות רבות בהן אין מועצה דתית, </w:t>
      </w:r>
      <w:proofErr w:type="spellStart"/>
      <w:r w:rsidRPr="001D7814">
        <w:rPr>
          <w:rFonts w:ascii="Arial TUR" w:eastAsia="Times New Roman" w:hAnsi="Arial TUR" w:cs="FrankRuehl" w:hint="cs"/>
          <w:spacing w:val="10"/>
          <w:sz w:val="28"/>
          <w:szCs w:val="28"/>
          <w:rtl/>
        </w:rPr>
        <w:t>והמקואות</w:t>
      </w:r>
      <w:proofErr w:type="spellEnd"/>
      <w:r w:rsidRPr="001D7814">
        <w:rPr>
          <w:rFonts w:ascii="Arial TUR" w:eastAsia="Times New Roman" w:hAnsi="Arial TUR" w:cs="FrankRuehl" w:hint="cs"/>
          <w:spacing w:val="10"/>
          <w:sz w:val="28"/>
          <w:szCs w:val="28"/>
          <w:rtl/>
        </w:rPr>
        <w:t xml:space="preserve"> מופעלים על-ידי הרשות המקומית. צוין, כי נערכת בדיקה לבחינת האפשרות לשימוש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אלה לעניין טבילה במסגרת גיור פרטי. ביום 11.6.14 הוגשה הודעה מעדכנת מטעם המערערות, לפיה אין הן מקבלות את הפתרון שהוצע על-ידי המשיב 2, אלא דורשות כי תינתן להן גישה </w:t>
      </w:r>
      <w:proofErr w:type="spellStart"/>
      <w:r w:rsidRPr="001D7814">
        <w:rPr>
          <w:rFonts w:ascii="Arial TUR" w:eastAsia="Times New Roman" w:hAnsi="Arial TUR" w:cs="FrankRuehl" w:hint="cs"/>
          <w:spacing w:val="10"/>
          <w:sz w:val="28"/>
          <w:szCs w:val="28"/>
          <w:rtl/>
        </w:rPr>
        <w:t>למקואות</w:t>
      </w:r>
      <w:proofErr w:type="spellEnd"/>
      <w:r w:rsidRPr="001D7814">
        <w:rPr>
          <w:rFonts w:ascii="Arial TUR" w:eastAsia="Times New Roman" w:hAnsi="Arial TUR" w:cs="FrankRuehl" w:hint="cs"/>
          <w:spacing w:val="10"/>
          <w:sz w:val="28"/>
          <w:szCs w:val="28"/>
          <w:rtl/>
        </w:rPr>
        <w:t xml:space="preserve"> בערים המרכזיות (בהן קיימת מועצה דתית) – ירושלים, תל-אביב, חיפה ובאר שבע. לאחר מספר בקשות להארכת מועד מטעם הצדדים, הוגשה הודעה מעדכנת מטעם המדינה ביום 29.1.15; בה נכתב, כי הניסיון לאתר </w:t>
      </w:r>
      <w:proofErr w:type="spellStart"/>
      <w:r w:rsidRPr="001D7814">
        <w:rPr>
          <w:rFonts w:ascii="Arial TUR" w:eastAsia="Times New Roman" w:hAnsi="Arial TUR" w:cs="FrankRuehl" w:hint="cs"/>
          <w:spacing w:val="10"/>
          <w:sz w:val="28"/>
          <w:szCs w:val="28"/>
          <w:rtl/>
        </w:rPr>
        <w:t>מקוה</w:t>
      </w:r>
      <w:proofErr w:type="spellEnd"/>
      <w:r w:rsidRPr="001D7814">
        <w:rPr>
          <w:rFonts w:ascii="Arial TUR" w:eastAsia="Times New Roman" w:hAnsi="Arial TUR" w:cs="FrankRuehl" w:hint="cs"/>
          <w:spacing w:val="10"/>
          <w:sz w:val="28"/>
          <w:szCs w:val="28"/>
          <w:rtl/>
        </w:rPr>
        <w:t xml:space="preserve"> ברשות מקומית שאינו מופעל על-ידי מועצה דתית, לא צלח – וכעת נבחנת האפשרות להקמת </w:t>
      </w:r>
      <w:proofErr w:type="spellStart"/>
      <w:r w:rsidRPr="001D7814">
        <w:rPr>
          <w:rFonts w:ascii="Arial TUR" w:eastAsia="Times New Roman" w:hAnsi="Arial TUR" w:cs="FrankRuehl" w:hint="cs"/>
          <w:spacing w:val="10"/>
          <w:sz w:val="28"/>
          <w:szCs w:val="28"/>
          <w:rtl/>
        </w:rPr>
        <w:t>מקוה</w:t>
      </w:r>
      <w:proofErr w:type="spellEnd"/>
      <w:r w:rsidRPr="001D7814">
        <w:rPr>
          <w:rFonts w:ascii="Arial TUR" w:eastAsia="Times New Roman" w:hAnsi="Arial TUR" w:cs="FrankRuehl" w:hint="cs"/>
          <w:spacing w:val="10"/>
          <w:sz w:val="28"/>
          <w:szCs w:val="28"/>
          <w:rtl/>
        </w:rPr>
        <w:t xml:space="preserve"> לצרכי גיור אשר ישמש גם את המערערות. יצוין, כי המערערות הביעו את התנגדותן גם להצעה זו, שכן מדובר בתכנית להקמת </w:t>
      </w:r>
      <w:proofErr w:type="spellStart"/>
      <w:r w:rsidRPr="001D7814">
        <w:rPr>
          <w:rFonts w:ascii="Arial TUR" w:eastAsia="Times New Roman" w:hAnsi="Arial TUR" w:cs="FrankRuehl" w:hint="cs"/>
          <w:spacing w:val="10"/>
          <w:sz w:val="28"/>
          <w:szCs w:val="28"/>
          <w:rtl/>
        </w:rPr>
        <w:t>מקוה</w:t>
      </w:r>
      <w:proofErr w:type="spellEnd"/>
      <w:r w:rsidRPr="001D7814">
        <w:rPr>
          <w:rFonts w:ascii="Arial TUR" w:eastAsia="Times New Roman" w:hAnsi="Arial TUR" w:cs="FrankRuehl" w:hint="cs"/>
          <w:spacing w:val="10"/>
          <w:sz w:val="28"/>
          <w:szCs w:val="28"/>
          <w:rtl/>
        </w:rPr>
        <w:t xml:space="preserve"> אחד בלבד, אותו יהא עליהן לחלוק עם גורמים אחרים. נוסיף, כי עם פרישת הנשיא </w:t>
      </w:r>
      <w:proofErr w:type="spellStart"/>
      <w:r w:rsidRPr="001D7814">
        <w:rPr>
          <w:rFonts w:ascii="Arial TUR" w:eastAsia="Times New Roman" w:hAnsi="Arial TUR" w:cs="FrankRuehl" w:hint="cs"/>
          <w:spacing w:val="10"/>
          <w:sz w:val="28"/>
          <w:szCs w:val="28"/>
          <w:rtl/>
        </w:rPr>
        <w:t>גרוניס</w:t>
      </w:r>
      <w:proofErr w:type="spellEnd"/>
      <w:r w:rsidRPr="001D7814">
        <w:rPr>
          <w:rFonts w:ascii="Arial TUR" w:eastAsia="Times New Roman" w:hAnsi="Arial TUR" w:cs="FrankRuehl" w:hint="cs"/>
          <w:spacing w:val="10"/>
          <w:sz w:val="28"/>
          <w:szCs w:val="28"/>
          <w:rtl/>
        </w:rPr>
        <w:t xml:space="preserve"> הוסף להרכב השופט </w:t>
      </w:r>
      <w:r w:rsidRPr="001D7814">
        <w:rPr>
          <w:rFonts w:ascii="Arial TUR" w:eastAsia="Times New Roman" w:hAnsi="Arial TUR" w:cs="Miriam" w:hint="cs"/>
          <w:sz w:val="24"/>
          <w:szCs w:val="24"/>
          <w:rtl/>
        </w:rPr>
        <w:t xml:space="preserve">ס' </w:t>
      </w:r>
      <w:proofErr w:type="spellStart"/>
      <w:r w:rsidRPr="001D7814">
        <w:rPr>
          <w:rFonts w:ascii="Arial TUR" w:eastAsia="Times New Roman" w:hAnsi="Arial TUR" w:cs="Miriam" w:hint="cs"/>
          <w:sz w:val="24"/>
          <w:szCs w:val="24"/>
          <w:rtl/>
        </w:rPr>
        <w:t>גובראן</w:t>
      </w:r>
      <w:proofErr w:type="spellEnd"/>
      <w:r w:rsidRPr="001D7814">
        <w:rPr>
          <w:rFonts w:ascii="Arial TUR" w:eastAsia="Times New Roman" w:hAnsi="Arial TUR" w:cs="FrankRuehl" w:hint="cs"/>
          <w:spacing w:val="10"/>
          <w:sz w:val="28"/>
          <w:szCs w:val="28"/>
          <w:rtl/>
        </w:rPr>
        <w:t>.</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Arial TUR"/>
          <w:spacing w:val="10"/>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ח.</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ביום 10.11.15, לאחר עיכובים בעקבות הבחירות לכנסת ה-20 והקמת הממשלה החדשה, הוגשה הודעה מעדכנת מטעם המשיב 2; בהודעה נמסר, כי – בניגוד לטענת המערערות – טבילת גרים מטעמן מתאפשרת ומתבצעת בפועל בשתי רשויות מקומיות לפחות, נוסף על </w:t>
      </w:r>
      <w:proofErr w:type="spellStart"/>
      <w:r w:rsidRPr="001D7814">
        <w:rPr>
          <w:rFonts w:ascii="Arial TUR" w:eastAsia="Times New Roman" w:hAnsi="Arial TUR" w:cs="FrankRuehl" w:hint="cs"/>
          <w:spacing w:val="10"/>
          <w:sz w:val="28"/>
          <w:szCs w:val="28"/>
          <w:rtl/>
        </w:rPr>
        <w:t>המקוה</w:t>
      </w:r>
      <w:proofErr w:type="spellEnd"/>
      <w:r w:rsidRPr="001D7814">
        <w:rPr>
          <w:rFonts w:ascii="Arial TUR" w:eastAsia="Times New Roman" w:hAnsi="Arial TUR" w:cs="FrankRuehl" w:hint="cs"/>
          <w:spacing w:val="10"/>
          <w:sz w:val="28"/>
          <w:szCs w:val="28"/>
          <w:rtl/>
        </w:rPr>
        <w:t xml:space="preserve"> בקיבוץ חנתון. באשר להקמת </w:t>
      </w:r>
      <w:proofErr w:type="spellStart"/>
      <w:r w:rsidRPr="001D7814">
        <w:rPr>
          <w:rFonts w:ascii="Arial TUR" w:eastAsia="Times New Roman" w:hAnsi="Arial TUR" w:cs="FrankRuehl" w:hint="cs"/>
          <w:spacing w:val="10"/>
          <w:sz w:val="28"/>
          <w:szCs w:val="28"/>
          <w:rtl/>
        </w:rPr>
        <w:t>מקואות</w:t>
      </w:r>
      <w:proofErr w:type="spellEnd"/>
      <w:r w:rsidRPr="001D7814">
        <w:rPr>
          <w:rFonts w:ascii="Arial TUR" w:eastAsia="Times New Roman" w:hAnsi="Arial TUR" w:cs="FrankRuehl" w:hint="cs"/>
          <w:spacing w:val="10"/>
          <w:sz w:val="28"/>
          <w:szCs w:val="28"/>
          <w:rtl/>
        </w:rPr>
        <w:t xml:space="preserve"> חדשים נמסר, כי הדבר מצריך עמידה בתנאים מסוימים מצד הרשות המקומית. ביום 17.11.15 הוגשה הודעה מטעם המערערות בה נטען, כי השימוש שהן עושות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אותם ציינה המדינה, הממוקמים במודיעין ובישוב עומר אשר בדרום, נעשה ב"דרך לא דרך" וללא אישורים רשמיים. עוד נטען, כי גם אילו </w:t>
      </w:r>
      <w:proofErr w:type="spellStart"/>
      <w:r w:rsidRPr="001D7814">
        <w:rPr>
          <w:rFonts w:ascii="Arial TUR" w:eastAsia="Times New Roman" w:hAnsi="Arial TUR" w:cs="FrankRuehl" w:hint="cs"/>
          <w:spacing w:val="10"/>
          <w:sz w:val="28"/>
          <w:szCs w:val="28"/>
          <w:rtl/>
        </w:rPr>
        <w:t>נתאפשרה</w:t>
      </w:r>
      <w:proofErr w:type="spellEnd"/>
      <w:r w:rsidRPr="001D7814">
        <w:rPr>
          <w:rFonts w:ascii="Arial TUR" w:eastAsia="Times New Roman" w:hAnsi="Arial TUR" w:cs="FrankRuehl" w:hint="cs"/>
          <w:spacing w:val="10"/>
          <w:sz w:val="28"/>
          <w:szCs w:val="28"/>
          <w:rtl/>
        </w:rPr>
        <w:t xml:space="preserve"> טבילה מסודרת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אלה, עדיין לא היה בכך פתרון מספק בעבור המערערות, המבקשות הקצאת </w:t>
      </w:r>
      <w:proofErr w:type="spellStart"/>
      <w:r w:rsidRPr="001D7814">
        <w:rPr>
          <w:rFonts w:ascii="Arial TUR" w:eastAsia="Times New Roman" w:hAnsi="Arial TUR" w:cs="FrankRuehl" w:hint="cs"/>
          <w:spacing w:val="10"/>
          <w:sz w:val="28"/>
          <w:szCs w:val="28"/>
          <w:rtl/>
        </w:rPr>
        <w:t>מקואות</w:t>
      </w:r>
      <w:proofErr w:type="spellEnd"/>
      <w:r w:rsidRPr="001D7814">
        <w:rPr>
          <w:rFonts w:ascii="Arial TUR" w:eastAsia="Times New Roman" w:hAnsi="Arial TUR" w:cs="FrankRuehl" w:hint="cs"/>
          <w:spacing w:val="10"/>
          <w:sz w:val="28"/>
          <w:szCs w:val="28"/>
          <w:rtl/>
        </w:rPr>
        <w:t xml:space="preserve"> במרכז הארץ – בירושלים ובתל-אביב – שם מתגוררים מרבית המתגיירים. לפי המערערות, העובדה שהקמת </w:t>
      </w:r>
      <w:proofErr w:type="spellStart"/>
      <w:r w:rsidRPr="001D7814">
        <w:rPr>
          <w:rFonts w:ascii="Arial TUR" w:eastAsia="Times New Roman" w:hAnsi="Arial TUR" w:cs="FrankRuehl" w:hint="cs"/>
          <w:spacing w:val="10"/>
          <w:sz w:val="28"/>
          <w:szCs w:val="28"/>
          <w:rtl/>
        </w:rPr>
        <w:t>מקוה</w:t>
      </w:r>
      <w:proofErr w:type="spellEnd"/>
      <w:r w:rsidRPr="001D7814">
        <w:rPr>
          <w:rFonts w:ascii="Arial TUR" w:eastAsia="Times New Roman" w:hAnsi="Arial TUR" w:cs="FrankRuehl" w:hint="cs"/>
          <w:spacing w:val="10"/>
          <w:sz w:val="28"/>
          <w:szCs w:val="28"/>
          <w:rtl/>
        </w:rPr>
        <w:t xml:space="preserve"> מצריכה שיתוף פעולה מצד הרשות המקומית אינה שוללת הקמת </w:t>
      </w:r>
      <w:proofErr w:type="spellStart"/>
      <w:r w:rsidRPr="001D7814">
        <w:rPr>
          <w:rFonts w:ascii="Arial TUR" w:eastAsia="Times New Roman" w:hAnsi="Arial TUR" w:cs="FrankRuehl" w:hint="cs"/>
          <w:spacing w:val="10"/>
          <w:sz w:val="28"/>
          <w:szCs w:val="28"/>
          <w:rtl/>
        </w:rPr>
        <w:t>מקוה</w:t>
      </w:r>
      <w:proofErr w:type="spellEnd"/>
      <w:r w:rsidRPr="001D7814">
        <w:rPr>
          <w:rFonts w:ascii="Arial TUR" w:eastAsia="Times New Roman" w:hAnsi="Arial TUR" w:cs="FrankRuehl" w:hint="cs"/>
          <w:spacing w:val="10"/>
          <w:sz w:val="28"/>
          <w:szCs w:val="28"/>
          <w:rtl/>
        </w:rPr>
        <w:t xml:space="preserve"> שישמש לצרכיה. ביום 13.11.15, בהחלטת הנשיאה, נתבקש המשרד לשירותי דת להודיע מי הרשויות שבתחומן </w:t>
      </w:r>
      <w:proofErr w:type="spellStart"/>
      <w:r w:rsidRPr="001D7814">
        <w:rPr>
          <w:rFonts w:ascii="Arial TUR" w:eastAsia="Times New Roman" w:hAnsi="Arial TUR" w:cs="FrankRuehl" w:hint="cs"/>
          <w:spacing w:val="10"/>
          <w:sz w:val="28"/>
          <w:szCs w:val="28"/>
          <w:rtl/>
        </w:rPr>
        <w:t>מקואות</w:t>
      </w:r>
      <w:proofErr w:type="spellEnd"/>
      <w:r w:rsidRPr="001D7814">
        <w:rPr>
          <w:rFonts w:ascii="Arial TUR" w:eastAsia="Times New Roman" w:hAnsi="Arial TUR" w:cs="FrankRuehl" w:hint="cs"/>
          <w:spacing w:val="10"/>
          <w:sz w:val="28"/>
          <w:szCs w:val="28"/>
          <w:rtl/>
        </w:rPr>
        <w:t xml:space="preserve"> זמינים למערערות ומי הגורמים בהן שהביעו נכונות לסייע, ואם יש ממש בטענת המערערות שחבריהן נאלצים לטבול כ"גנבים בלילה" – כיצד לאפשר להם טבילה מסודרת וראויה. ביום 16.12.15 הוגשה תגובה מטעם המשיב 2; נטען, כי לא ברור כיצד יכולות המערערות לדרוש שיתאפשר להן לטבול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בירושלים ובתל-אביב, כאשר עסקינן בערעור בנוגע לטבילה בבאר-שבע, וכאשר המערערות הגישו בעבר עתירה בנושא טבילה בירושלים – וזו נמחקה לאחר שהמועצה הדתית בירושלים הצהירה שאין היא מאפשרת טבילה לצורך גיור כלל, לרבות למערך הגיור הממלכתי. כן נטען, כי לא ברורה טענת המערערות שהשימוש </w:t>
      </w:r>
      <w:proofErr w:type="spellStart"/>
      <w:r w:rsidRPr="001D7814">
        <w:rPr>
          <w:rFonts w:ascii="Arial TUR" w:eastAsia="Times New Roman" w:hAnsi="Arial TUR" w:cs="FrankRuehl" w:hint="cs"/>
          <w:spacing w:val="10"/>
          <w:sz w:val="28"/>
          <w:szCs w:val="28"/>
          <w:rtl/>
        </w:rPr>
        <w:t>במקוה</w:t>
      </w:r>
      <w:proofErr w:type="spellEnd"/>
      <w:r w:rsidRPr="001D7814">
        <w:rPr>
          <w:rFonts w:ascii="Arial TUR" w:eastAsia="Times New Roman" w:hAnsi="Arial TUR" w:cs="FrankRuehl" w:hint="cs"/>
          <w:spacing w:val="10"/>
          <w:sz w:val="28"/>
          <w:szCs w:val="28"/>
          <w:rtl/>
        </w:rPr>
        <w:t xml:space="preserve"> נעשה "בדרך לא דרך", שכן טבילה לעניין גיור נעשית מטבעה בצנעה. תגובה מטעם המערערות הוגשה ביום 21.12.15, ובה נטען כי דרישת המערערות להקצאת </w:t>
      </w:r>
      <w:proofErr w:type="spellStart"/>
      <w:r w:rsidRPr="001D7814">
        <w:rPr>
          <w:rFonts w:ascii="Arial TUR" w:eastAsia="Times New Roman" w:hAnsi="Arial TUR" w:cs="FrankRuehl" w:hint="cs"/>
          <w:spacing w:val="10"/>
          <w:sz w:val="28"/>
          <w:szCs w:val="28"/>
          <w:rtl/>
        </w:rPr>
        <w:t>מקואות</w:t>
      </w:r>
      <w:proofErr w:type="spellEnd"/>
      <w:r w:rsidRPr="001D7814">
        <w:rPr>
          <w:rFonts w:ascii="Arial TUR" w:eastAsia="Times New Roman" w:hAnsi="Arial TUR" w:cs="FrankRuehl" w:hint="cs"/>
          <w:spacing w:val="10"/>
          <w:sz w:val="28"/>
          <w:szCs w:val="28"/>
          <w:rtl/>
        </w:rPr>
        <w:t xml:space="preserve"> במרכז הארץ עולה בקנה אחד עם החלטת בית משפט זה שביקש מן הצדדים להגיע להסדר עקרוני, ולא בהכרח נקודתית לעניין באר שבע. המערערות ציינו, כי הפתרונות הקיימים כיום בחנתון, מודיעין ועומר אינם מספקים, שכן מדובר בפתרונות ארעיים ולא מוסדרים. ביום 14.1.16 הוגשה הודעה מטעם המערערות, בה הודיעו כי אינן עומדות על קיומו של דיון נוסף בעל-פה, ומבקשות מתן פסק-דין שיאפשר לגרים מטעמן לטבול בכל מקום בו הדבר מתאפשר לגרים מטעם מערך הגיור הלאומי – צפת, עפולה, תל-אביב, </w:t>
      </w:r>
      <w:proofErr w:type="spellStart"/>
      <w:r w:rsidRPr="001D7814">
        <w:rPr>
          <w:rFonts w:ascii="Arial TUR" w:eastAsia="Times New Roman" w:hAnsi="Arial TUR" w:cs="FrankRuehl" w:hint="cs"/>
          <w:spacing w:val="10"/>
          <w:sz w:val="28"/>
          <w:szCs w:val="28"/>
          <w:rtl/>
        </w:rPr>
        <w:t>קרית</w:t>
      </w:r>
      <w:proofErr w:type="spellEnd"/>
      <w:r w:rsidRPr="001D7814">
        <w:rPr>
          <w:rFonts w:ascii="Arial TUR" w:eastAsia="Times New Roman" w:hAnsi="Arial TUR" w:cs="FrankRuehl" w:hint="cs"/>
          <w:spacing w:val="10"/>
          <w:sz w:val="28"/>
          <w:szCs w:val="28"/>
          <w:rtl/>
        </w:rPr>
        <w:t xml:space="preserve">-גת, באר שבע ומבשרת ציון. הסכמה למתן פסק-דין התקבלה גם מטעם המשיבים, ב-23.12.15 ו-14.1.16. בהחלטה מ-18.1.16 נתבקשה הבהרה עובדתית של המשרד לשירותי דת באשר לאפשרות לטבילת גרי המערערות בעומר ובמודיעין. ביום 28.1.16 הוגשה הודעה מטעם מנכ"ל המשיב 2, אשר הצהיר כי למיטב ידיעתו מתאפשרת למערערות גישה </w:t>
      </w:r>
      <w:proofErr w:type="spellStart"/>
      <w:r w:rsidRPr="001D7814">
        <w:rPr>
          <w:rFonts w:ascii="Arial TUR" w:eastAsia="Times New Roman" w:hAnsi="Arial TUR" w:cs="FrankRuehl" w:hint="cs"/>
          <w:spacing w:val="10"/>
          <w:sz w:val="28"/>
          <w:szCs w:val="28"/>
          <w:rtl/>
        </w:rPr>
        <w:t>למקואות</w:t>
      </w:r>
      <w:proofErr w:type="spellEnd"/>
      <w:r w:rsidRPr="001D7814">
        <w:rPr>
          <w:rFonts w:ascii="Arial TUR" w:eastAsia="Times New Roman" w:hAnsi="Arial TUR" w:cs="FrankRuehl" w:hint="cs"/>
          <w:spacing w:val="10"/>
          <w:sz w:val="28"/>
          <w:szCs w:val="28"/>
          <w:rtl/>
        </w:rPr>
        <w:t xml:space="preserve"> בשני המקומות, וזאת לאחר שבשעתו קיים שיחה טלפונית עם ראש מועצה מקומית בדרום (עומר, אך שמה לא הוזכר) ועם מנכ"ל </w:t>
      </w:r>
      <w:proofErr w:type="spellStart"/>
      <w:r w:rsidRPr="001D7814">
        <w:rPr>
          <w:rFonts w:ascii="Arial TUR" w:eastAsia="Times New Roman" w:hAnsi="Arial TUR" w:cs="FrankRuehl" w:hint="cs"/>
          <w:spacing w:val="10"/>
          <w:sz w:val="28"/>
          <w:szCs w:val="28"/>
          <w:rtl/>
        </w:rPr>
        <w:t>עיריה</w:t>
      </w:r>
      <w:proofErr w:type="spellEnd"/>
      <w:r w:rsidRPr="001D7814">
        <w:rPr>
          <w:rFonts w:ascii="Arial TUR" w:eastAsia="Times New Roman" w:hAnsi="Arial TUR" w:cs="FrankRuehl" w:hint="cs"/>
          <w:spacing w:val="10"/>
          <w:sz w:val="28"/>
          <w:szCs w:val="28"/>
          <w:rtl/>
        </w:rPr>
        <w:t xml:space="preserve"> במרכז (מודיעין, אך אף שמה לא הוזכר משום מה). ביום 4.2.16 הוגשה הודעה מטעם המערערות – המלווה בתצהיר מטעם מזכיר בית הדין של מועצת הרבנים המתקדמים – לפיה, גורמים מקומיים אינם מאפשרים את טבילת המתגיירים מטעמן, והטבילה בפועל בעומר ומודיעין מתבצעת כ"גנבים בלילה". התצהיר מפרט שיחות עם האחראים על </w:t>
      </w:r>
      <w:proofErr w:type="spellStart"/>
      <w:r w:rsidRPr="001D7814">
        <w:rPr>
          <w:rFonts w:ascii="Arial TUR" w:eastAsia="Times New Roman" w:hAnsi="Arial TUR" w:cs="FrankRuehl" w:hint="cs"/>
          <w:spacing w:val="10"/>
          <w:sz w:val="28"/>
          <w:szCs w:val="28"/>
          <w:rtl/>
        </w:rPr>
        <w:t>המקואות</w:t>
      </w:r>
      <w:proofErr w:type="spellEnd"/>
      <w:r w:rsidRPr="001D7814">
        <w:rPr>
          <w:rFonts w:ascii="Arial TUR" w:eastAsia="Times New Roman" w:hAnsi="Arial TUR" w:cs="FrankRuehl" w:hint="cs"/>
          <w:spacing w:val="10"/>
          <w:sz w:val="28"/>
          <w:szCs w:val="28"/>
          <w:rtl/>
        </w:rPr>
        <w:t xml:space="preserve"> במודיעין ועם רב היישוב עומר, והראשון הפנה למנכ"ל המשרד לשירותי דת והשני שאל לשם מה הם צריכים טבילה, והציע שיפנו לאחרים, וכן הוסיף שבכלל </w:t>
      </w:r>
      <w:proofErr w:type="spellStart"/>
      <w:r w:rsidRPr="001D7814">
        <w:rPr>
          <w:rFonts w:ascii="Arial TUR" w:eastAsia="Times New Roman" w:hAnsi="Arial TUR" w:cs="FrankRuehl" w:hint="cs"/>
          <w:spacing w:val="10"/>
          <w:sz w:val="28"/>
          <w:szCs w:val="28"/>
          <w:rtl/>
        </w:rPr>
        <w:t>המקוה</w:t>
      </w:r>
      <w:proofErr w:type="spellEnd"/>
      <w:r w:rsidRPr="001D7814">
        <w:rPr>
          <w:rFonts w:ascii="Arial TUR" w:eastAsia="Times New Roman" w:hAnsi="Arial TUR" w:cs="FrankRuehl" w:hint="cs"/>
          <w:spacing w:val="10"/>
          <w:sz w:val="28"/>
          <w:szCs w:val="28"/>
          <w:rtl/>
        </w:rPr>
        <w:t xml:space="preserve"> אינו בפעילות ו"שנבקש ממי שיכול </w:t>
      </w:r>
      <w:proofErr w:type="spellStart"/>
      <w:r w:rsidRPr="001D7814">
        <w:rPr>
          <w:rFonts w:ascii="Arial TUR" w:eastAsia="Times New Roman" w:hAnsi="Arial TUR" w:cs="FrankRuehl" w:hint="cs"/>
          <w:spacing w:val="10"/>
          <w:sz w:val="28"/>
          <w:szCs w:val="28"/>
          <w:rtl/>
        </w:rPr>
        <w:t>שיתן</w:t>
      </w:r>
      <w:proofErr w:type="spellEnd"/>
      <w:r w:rsidRPr="001D7814">
        <w:rPr>
          <w:rFonts w:ascii="Arial TUR" w:eastAsia="Times New Roman" w:hAnsi="Arial TUR" w:cs="FrankRuehl" w:hint="cs"/>
          <w:spacing w:val="10"/>
          <w:sz w:val="28"/>
          <w:szCs w:val="28"/>
          <w:rtl/>
        </w:rPr>
        <w:t xml:space="preserve"> לנו, ולמה זורקים עליו דברים".</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Miriam" w:hint="cs"/>
          <w:sz w:val="24"/>
          <w:szCs w:val="24"/>
          <w:rtl/>
        </w:rPr>
        <w:t>הכרעה</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Arial TUR"/>
          <w:spacing w:val="10"/>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ט.</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בפנינו מקרה הממחיש היטב את האופן בו טענות עקרוניות נתקלות במציאות מעשית, על כל המשתמע, באופן שנמנע פתרון פרגמטי. לא נכחד, כי מעיקרא סברנו שהפתרון ההולם בנידון </w:t>
      </w:r>
      <w:proofErr w:type="spellStart"/>
      <w:r w:rsidRPr="001D7814">
        <w:rPr>
          <w:rFonts w:ascii="Arial TUR" w:eastAsia="Times New Roman" w:hAnsi="Arial TUR" w:cs="FrankRuehl" w:hint="cs"/>
          <w:spacing w:val="10"/>
          <w:sz w:val="28"/>
          <w:szCs w:val="28"/>
          <w:rtl/>
        </w:rPr>
        <w:t>דידן</w:t>
      </w:r>
      <w:proofErr w:type="spellEnd"/>
      <w:r w:rsidRPr="001D7814">
        <w:rPr>
          <w:rFonts w:ascii="Arial TUR" w:eastAsia="Times New Roman" w:hAnsi="Arial TUR" w:cs="FrankRuehl" w:hint="cs"/>
          <w:spacing w:val="10"/>
          <w:sz w:val="28"/>
          <w:szCs w:val="28"/>
          <w:rtl/>
        </w:rPr>
        <w:t xml:space="preserve"> הוא גיבוש הסכמה, והסדרה על פי מה שנחזה להיות המצב הקיים; לשון אחר, אילו </w:t>
      </w:r>
      <w:proofErr w:type="spellStart"/>
      <w:r w:rsidRPr="001D7814">
        <w:rPr>
          <w:rFonts w:ascii="Arial TUR" w:eastAsia="Times New Roman" w:hAnsi="Arial TUR" w:cs="FrankRuehl" w:hint="cs"/>
          <w:spacing w:val="10"/>
          <w:sz w:val="28"/>
          <w:szCs w:val="28"/>
          <w:rtl/>
        </w:rPr>
        <w:t>נתאפשרה</w:t>
      </w:r>
      <w:proofErr w:type="spellEnd"/>
      <w:r w:rsidRPr="001D7814">
        <w:rPr>
          <w:rFonts w:ascii="Arial TUR" w:eastAsia="Times New Roman" w:hAnsi="Arial TUR" w:cs="FrankRuehl" w:hint="cs"/>
          <w:spacing w:val="10"/>
          <w:sz w:val="28"/>
          <w:szCs w:val="28"/>
          <w:rtl/>
        </w:rPr>
        <w:t xml:space="preserve"> למערערות גישה מוסדרת ומכובדת </w:t>
      </w:r>
      <w:proofErr w:type="spellStart"/>
      <w:r w:rsidRPr="001D7814">
        <w:rPr>
          <w:rFonts w:ascii="Arial TUR" w:eastAsia="Times New Roman" w:hAnsi="Arial TUR" w:cs="FrankRuehl" w:hint="cs"/>
          <w:spacing w:val="10"/>
          <w:sz w:val="28"/>
          <w:szCs w:val="28"/>
          <w:rtl/>
        </w:rPr>
        <w:t>למקואות</w:t>
      </w:r>
      <w:proofErr w:type="spellEnd"/>
      <w:r w:rsidRPr="001D7814">
        <w:rPr>
          <w:rFonts w:ascii="Arial TUR" w:eastAsia="Times New Roman" w:hAnsi="Arial TUR" w:cs="FrankRuehl" w:hint="cs"/>
          <w:spacing w:val="10"/>
          <w:sz w:val="28"/>
          <w:szCs w:val="28"/>
          <w:rtl/>
        </w:rPr>
        <w:t xml:space="preserve"> אשר בעומר, מודיעין וחנתון כפי שכביכול עלה – דַּיֵּנוּ, שכן מדובר לפי נתוניהן של המערערות בפחות מ-300 איש בשנה, </w:t>
      </w:r>
      <w:proofErr w:type="spellStart"/>
      <w:r w:rsidRPr="001D7814">
        <w:rPr>
          <w:rFonts w:ascii="Arial TUR" w:eastAsia="Times New Roman" w:hAnsi="Arial TUR" w:cs="FrankRuehl" w:hint="cs"/>
          <w:spacing w:val="10"/>
          <w:sz w:val="28"/>
          <w:szCs w:val="28"/>
          <w:rtl/>
        </w:rPr>
        <w:t>ומקוה</w:t>
      </w:r>
      <w:proofErr w:type="spellEnd"/>
      <w:r w:rsidRPr="001D7814">
        <w:rPr>
          <w:rFonts w:ascii="Arial TUR" w:eastAsia="Times New Roman" w:hAnsi="Arial TUR" w:cs="FrankRuehl" w:hint="cs"/>
          <w:spacing w:val="10"/>
          <w:sz w:val="28"/>
          <w:szCs w:val="28"/>
          <w:rtl/>
        </w:rPr>
        <w:t xml:space="preserve"> אחד בכל </w:t>
      </w:r>
      <w:proofErr w:type="spellStart"/>
      <w:r w:rsidRPr="001D7814">
        <w:rPr>
          <w:rFonts w:ascii="Arial TUR" w:eastAsia="Times New Roman" w:hAnsi="Arial TUR" w:cs="FrankRuehl" w:hint="cs"/>
          <w:spacing w:val="10"/>
          <w:sz w:val="28"/>
          <w:szCs w:val="28"/>
          <w:rtl/>
        </w:rPr>
        <w:t>איזור</w:t>
      </w:r>
      <w:proofErr w:type="spellEnd"/>
      <w:r w:rsidRPr="001D7814">
        <w:rPr>
          <w:rFonts w:ascii="Arial TUR" w:eastAsia="Times New Roman" w:hAnsi="Arial TUR" w:cs="FrankRuehl" w:hint="cs"/>
          <w:spacing w:val="10"/>
          <w:sz w:val="28"/>
          <w:szCs w:val="28"/>
          <w:rtl/>
        </w:rPr>
        <w:t xml:space="preserve"> מרכזי בארץ היה עונה על הצרכים. אין לנו כל עניין להיכנס לנושאים האידיאולוגיים שבמחלוקת בהקשרים אלה, ורצוננו היה להידרש לפתרונות פרגמטיים; אלא שמקריאת התצהיר האחרון שהגישו המערערות – אשר נוקב בשמותיהם של גורמים מקומיים ספציפיים ביישובים עליהם הצביעו משיבי המדינה, שאינם מאפשרים באופן ראוי גישה </w:t>
      </w:r>
      <w:proofErr w:type="spellStart"/>
      <w:r w:rsidRPr="001D7814">
        <w:rPr>
          <w:rFonts w:ascii="Arial TUR" w:eastAsia="Times New Roman" w:hAnsi="Arial TUR" w:cs="FrankRuehl" w:hint="cs"/>
          <w:spacing w:val="10"/>
          <w:sz w:val="28"/>
          <w:szCs w:val="28"/>
          <w:rtl/>
        </w:rPr>
        <w:t>למקואות</w:t>
      </w:r>
      <w:proofErr w:type="spellEnd"/>
      <w:r w:rsidRPr="001D7814">
        <w:rPr>
          <w:rFonts w:ascii="Arial TUR" w:eastAsia="Times New Roman" w:hAnsi="Arial TUR" w:cs="FrankRuehl" w:hint="cs"/>
          <w:spacing w:val="10"/>
          <w:sz w:val="28"/>
          <w:szCs w:val="28"/>
          <w:rtl/>
        </w:rPr>
        <w:t xml:space="preserve"> – נראה כי התמונה אינה כפי </w:t>
      </w:r>
      <w:proofErr w:type="spellStart"/>
      <w:r w:rsidRPr="001D7814">
        <w:rPr>
          <w:rFonts w:ascii="Arial TUR" w:eastAsia="Times New Roman" w:hAnsi="Arial TUR" w:cs="FrankRuehl" w:hint="cs"/>
          <w:spacing w:val="10"/>
          <w:sz w:val="28"/>
          <w:szCs w:val="28"/>
          <w:rtl/>
        </w:rPr>
        <w:t>שקיוינו</w:t>
      </w:r>
      <w:proofErr w:type="spellEnd"/>
      <w:r w:rsidRPr="001D7814">
        <w:rPr>
          <w:rFonts w:ascii="Arial TUR" w:eastAsia="Times New Roman" w:hAnsi="Arial TUR" w:cs="FrankRuehl" w:hint="cs"/>
          <w:spacing w:val="10"/>
          <w:sz w:val="28"/>
          <w:szCs w:val="28"/>
          <w:rtl/>
        </w:rPr>
        <w:t xml:space="preserve"> לראות; נציין, כי התצהיר המפורט האחרון שהוגש כאמור מטעם המערערות עמד בסתירה לעמימות ולקיצור, בכל הכבוד, </w:t>
      </w:r>
      <w:proofErr w:type="spellStart"/>
      <w:r w:rsidRPr="001D7814">
        <w:rPr>
          <w:rFonts w:ascii="Arial TUR" w:eastAsia="Times New Roman" w:hAnsi="Arial TUR" w:cs="FrankRuehl" w:hint="cs"/>
          <w:spacing w:val="10"/>
          <w:sz w:val="28"/>
          <w:szCs w:val="28"/>
          <w:rtl/>
        </w:rPr>
        <w:t>שאיפיינו</w:t>
      </w:r>
      <w:proofErr w:type="spellEnd"/>
      <w:r w:rsidRPr="001D7814">
        <w:rPr>
          <w:rFonts w:ascii="Arial TUR" w:eastAsia="Times New Roman" w:hAnsi="Arial TUR" w:cs="FrankRuehl" w:hint="cs"/>
          <w:spacing w:val="10"/>
          <w:sz w:val="28"/>
          <w:szCs w:val="28"/>
          <w:rtl/>
        </w:rPr>
        <w:t xml:space="preserve"> את התצהיר שהוגש מטעם המדינה. משאלה פני הדברים, אין מנוס מקבלת הכרעה בתיק לגופו, והיא יכלה להתייתר אילולא עלה מתולדות הנושא (ואין זה נושא יחיד) מצב של "מנעת מרובה – לא מנעת". נציין כבר כעת, כי לא נעלמה מעינינו העובדה שהסעד המקורי בתיק נגע לטבילה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בבאר-שבע בלבד, והכרעתנו תהא בו, אך כיון שהטיעונים בתיק היו כלליים וכיון שהמשיב 2 מייצג את המדינה בנושא זה – ברי, כי העיקרון יפה כוחו למקומות אחרים שלמדינה ולרשויות ציבוריות יד בהם, ביישום המחויב.</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י.</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עוד יצוין, כי השאלה המסתתרת מאחורי התיק היא במידה רבה "מיהו רב", כלומר, דומה שחלק ניכר מעמדות המשיבים יסודו אינו בחשש מטבילה סתם אלא בחשש שמא בתי הדין של המערערות יבואו </w:t>
      </w:r>
      <w:proofErr w:type="spellStart"/>
      <w:r w:rsidRPr="001D7814">
        <w:rPr>
          <w:rFonts w:ascii="Arial TUR" w:eastAsia="Times New Roman" w:hAnsi="Arial TUR" w:cs="FrankRuehl" w:hint="cs"/>
          <w:spacing w:val="10"/>
          <w:sz w:val="28"/>
          <w:szCs w:val="28"/>
          <w:rtl/>
        </w:rPr>
        <w:t>למקוה</w:t>
      </w:r>
      <w:proofErr w:type="spellEnd"/>
      <w:r w:rsidRPr="001D7814">
        <w:rPr>
          <w:rFonts w:ascii="Arial TUR" w:eastAsia="Times New Roman" w:hAnsi="Arial TUR" w:cs="FrankRuehl" w:hint="cs"/>
          <w:spacing w:val="10"/>
          <w:sz w:val="28"/>
          <w:szCs w:val="28"/>
          <w:rtl/>
        </w:rPr>
        <w:t xml:space="preserve"> לצורך הגיור, ותשתמע מעין "הכרה" בהם. הדבר כשלעצמו אינו נחוץ להכרעה בענייננו, ואיננו מביעים דעה לגביו כאן. יש גם משום נימה אירונית במידת מה, "הפוך על הפוך", בהסתייגות ממתן אפשרות טבילה, שהרי לכל הדעות טבילה היא אחת משלוש הדרישות לגבר לשם גיור (מילה, טבילה וקבלת עול מצוות), ומן השתיים לאשה (טבילה וקבלת עול מצוות). ישנו ויכוח גדול – שאין זה המקום להידרש אליו – לעניין טיבה של קבלת עול מצוות, "טוטלית" או ברוח "מודיעין אותו מקצת מצוות קלות ומקצת מצוות חמורות" (רמב"ם </w:t>
      </w:r>
      <w:r w:rsidRPr="001D7814">
        <w:rPr>
          <w:rFonts w:ascii="Arial TUR" w:eastAsia="Times New Roman" w:hAnsi="Arial TUR" w:cs="Miriam" w:hint="cs"/>
          <w:sz w:val="24"/>
          <w:szCs w:val="24"/>
          <w:rtl/>
        </w:rPr>
        <w:t>איסורי ביאה</w:t>
      </w:r>
      <w:r w:rsidRPr="001D7814">
        <w:rPr>
          <w:rFonts w:ascii="Arial TUR" w:eastAsia="Times New Roman" w:hAnsi="Arial TUR" w:cs="FrankRuehl" w:hint="cs"/>
          <w:spacing w:val="10"/>
          <w:sz w:val="28"/>
          <w:szCs w:val="28"/>
          <w:rtl/>
        </w:rPr>
        <w:t xml:space="preserve"> י"ד, ב'); אך משביקש אדם לטבול לשם גרות, מדוע למנוע ממנו, כל עוד אין – לשיטתי, למרבה הצער – גיור ממלכתי מקובל על </w:t>
      </w:r>
      <w:proofErr w:type="spellStart"/>
      <w:r w:rsidRPr="001D7814">
        <w:rPr>
          <w:rFonts w:ascii="Arial TUR" w:eastAsia="Times New Roman" w:hAnsi="Arial TUR" w:cs="FrankRuehl" w:hint="cs"/>
          <w:spacing w:val="10"/>
          <w:sz w:val="28"/>
          <w:szCs w:val="28"/>
          <w:rtl/>
        </w:rPr>
        <w:t>הכל</w:t>
      </w:r>
      <w:proofErr w:type="spellEnd"/>
      <w:r w:rsidRPr="001D7814">
        <w:rPr>
          <w:rFonts w:ascii="Arial TUR" w:eastAsia="Times New Roman" w:hAnsi="Arial TUR" w:cs="FrankRuehl" w:hint="cs"/>
          <w:spacing w:val="10"/>
          <w:sz w:val="28"/>
          <w:szCs w:val="28"/>
          <w:rtl/>
        </w:rPr>
        <w:t>?</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יא.</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נציין, כי אין מחלוקת בין הצדדים בנוגע לכך שישנן מספר רשויות מקומיות אשר </w:t>
      </w:r>
      <w:proofErr w:type="spellStart"/>
      <w:r w:rsidRPr="001D7814">
        <w:rPr>
          <w:rFonts w:ascii="Arial TUR" w:eastAsia="Times New Roman" w:hAnsi="Arial TUR" w:cs="FrankRuehl" w:hint="cs"/>
          <w:spacing w:val="10"/>
          <w:sz w:val="28"/>
          <w:szCs w:val="28"/>
          <w:rtl/>
        </w:rPr>
        <w:t>במקואותיהן</w:t>
      </w:r>
      <w:proofErr w:type="spellEnd"/>
      <w:r w:rsidRPr="001D7814">
        <w:rPr>
          <w:rFonts w:ascii="Arial TUR" w:eastAsia="Times New Roman" w:hAnsi="Arial TUR" w:cs="FrankRuehl" w:hint="cs"/>
          <w:spacing w:val="10"/>
          <w:sz w:val="28"/>
          <w:szCs w:val="28"/>
          <w:rtl/>
        </w:rPr>
        <w:t xml:space="preserve"> מתאפשרת טבילה </w:t>
      </w:r>
      <w:proofErr w:type="spellStart"/>
      <w:r w:rsidRPr="001D7814">
        <w:rPr>
          <w:rFonts w:ascii="Arial TUR" w:eastAsia="Times New Roman" w:hAnsi="Arial TUR" w:cs="FrankRuehl" w:hint="cs"/>
          <w:spacing w:val="10"/>
          <w:sz w:val="28"/>
          <w:szCs w:val="28"/>
          <w:rtl/>
        </w:rPr>
        <w:t>למתגיירי</w:t>
      </w:r>
      <w:proofErr w:type="spellEnd"/>
      <w:r w:rsidRPr="001D7814">
        <w:rPr>
          <w:rFonts w:ascii="Arial TUR" w:eastAsia="Times New Roman" w:hAnsi="Arial TUR" w:cs="FrankRuehl" w:hint="cs"/>
          <w:spacing w:val="10"/>
          <w:sz w:val="28"/>
          <w:szCs w:val="28"/>
          <w:rtl/>
        </w:rPr>
        <w:t xml:space="preserve"> מערך הגיור הממלכתי. רשויות אלה הן: </w:t>
      </w:r>
      <w:r w:rsidRPr="00EE5E13">
        <w:rPr>
          <w:rFonts w:ascii="Arial TUR" w:eastAsia="Times New Roman" w:hAnsi="Arial TUR" w:cs="FrankRuehl" w:hint="cs"/>
          <w:spacing w:val="10"/>
          <w:sz w:val="28"/>
          <w:szCs w:val="28"/>
          <w:highlight w:val="yellow"/>
          <w:rtl/>
        </w:rPr>
        <w:t xml:space="preserve">צפת, עפולה, תל-אביב, </w:t>
      </w:r>
      <w:proofErr w:type="spellStart"/>
      <w:r w:rsidRPr="00EE5E13">
        <w:rPr>
          <w:rFonts w:ascii="Arial TUR" w:eastAsia="Times New Roman" w:hAnsi="Arial TUR" w:cs="FrankRuehl" w:hint="cs"/>
          <w:spacing w:val="10"/>
          <w:sz w:val="28"/>
          <w:szCs w:val="28"/>
          <w:highlight w:val="yellow"/>
          <w:rtl/>
        </w:rPr>
        <w:t>קרית</w:t>
      </w:r>
      <w:proofErr w:type="spellEnd"/>
      <w:r w:rsidRPr="00EE5E13">
        <w:rPr>
          <w:rFonts w:ascii="Arial TUR" w:eastAsia="Times New Roman" w:hAnsi="Arial TUR" w:cs="FrankRuehl" w:hint="cs"/>
          <w:spacing w:val="10"/>
          <w:sz w:val="28"/>
          <w:szCs w:val="28"/>
          <w:highlight w:val="yellow"/>
          <w:rtl/>
        </w:rPr>
        <w:t>-גת, באר שבע ומבשרת ציון</w:t>
      </w:r>
      <w:r w:rsidRPr="001D7814">
        <w:rPr>
          <w:rFonts w:ascii="Arial TUR" w:eastAsia="Times New Roman" w:hAnsi="Arial TUR" w:cs="FrankRuehl" w:hint="cs"/>
          <w:spacing w:val="10"/>
          <w:sz w:val="28"/>
          <w:szCs w:val="28"/>
          <w:rtl/>
        </w:rPr>
        <w:t xml:space="preserve"> (להלן </w:t>
      </w:r>
      <w:r w:rsidRPr="001D7814">
        <w:rPr>
          <w:rFonts w:ascii="Arial TUR" w:eastAsia="Times New Roman" w:hAnsi="Arial TUR" w:cs="Miriam" w:hint="cs"/>
          <w:sz w:val="24"/>
          <w:szCs w:val="24"/>
          <w:rtl/>
        </w:rPr>
        <w:t>הרשויות הרלבנטיות</w:t>
      </w:r>
      <w:r w:rsidRPr="001D7814">
        <w:rPr>
          <w:rFonts w:ascii="Arial TUR" w:eastAsia="Times New Roman" w:hAnsi="Arial TUR" w:cs="FrankRuehl" w:hint="cs"/>
          <w:spacing w:val="10"/>
          <w:sz w:val="28"/>
          <w:szCs w:val="28"/>
          <w:rtl/>
        </w:rPr>
        <w:t xml:space="preserve">). נוכח זאת, מתייתרת מאליה השאלה האם טבילה לשם גיור באה בגדרי "שירות דת" לעניין חוק שירותי הדת; שכן השירות ניתן בפועל, וחזקה שניתן בסמכות משלא נטען אחרת בענייננו. השאלה שמונחת לפתחנו, אם כן, היא האם בדין מבחינה המדינה בין </w:t>
      </w:r>
      <w:proofErr w:type="spellStart"/>
      <w:r w:rsidRPr="001D7814">
        <w:rPr>
          <w:rFonts w:ascii="Arial TUR" w:eastAsia="Times New Roman" w:hAnsi="Arial TUR" w:cs="FrankRuehl" w:hint="cs"/>
          <w:spacing w:val="10"/>
          <w:sz w:val="28"/>
          <w:szCs w:val="28"/>
          <w:rtl/>
        </w:rPr>
        <w:t>מתגיירי</w:t>
      </w:r>
      <w:proofErr w:type="spellEnd"/>
      <w:r w:rsidRPr="001D7814">
        <w:rPr>
          <w:rFonts w:ascii="Arial TUR" w:eastAsia="Times New Roman" w:hAnsi="Arial TUR" w:cs="FrankRuehl" w:hint="cs"/>
          <w:spacing w:val="10"/>
          <w:sz w:val="28"/>
          <w:szCs w:val="28"/>
          <w:rtl/>
        </w:rPr>
        <w:t xml:space="preserve"> מערך הגיור הממלכתי לבין מתגיירים במסגרות אחרות – לרבות מתגיירים מטעם המערערות, והוא הדין כמובן למועצה הדתית.</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proofErr w:type="spellStart"/>
      <w:r w:rsidRPr="001D7814">
        <w:rPr>
          <w:rFonts w:ascii="Arial TUR" w:eastAsia="Times New Roman" w:hAnsi="Arial TUR" w:cs="FrankRuehl" w:hint="cs"/>
          <w:spacing w:val="10"/>
          <w:sz w:val="28"/>
          <w:szCs w:val="28"/>
          <w:rtl/>
        </w:rPr>
        <w:t>יב</w:t>
      </w:r>
      <w:proofErr w:type="spellEnd"/>
      <w:r w:rsidRPr="001D7814">
        <w:rPr>
          <w:rFonts w:ascii="Arial TUR" w:eastAsia="Times New Roman" w:hAnsi="Arial TUR" w:cs="FrankRuehl" w:hint="cs"/>
          <w:spacing w:val="10"/>
          <w:sz w:val="28"/>
          <w:szCs w:val="28"/>
          <w:rtl/>
        </w:rPr>
        <w:t>.</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נזכיר מושכלות יסוד. עקרון </w:t>
      </w:r>
      <w:proofErr w:type="spellStart"/>
      <w:r w:rsidRPr="001D7814">
        <w:rPr>
          <w:rFonts w:ascii="Arial TUR" w:eastAsia="Times New Roman" w:hAnsi="Arial TUR" w:cs="FrankRuehl" w:hint="cs"/>
          <w:spacing w:val="10"/>
          <w:sz w:val="28"/>
          <w:szCs w:val="28"/>
          <w:rtl/>
        </w:rPr>
        <w:t>השויון</w:t>
      </w:r>
      <w:proofErr w:type="spellEnd"/>
      <w:r w:rsidRPr="001D7814">
        <w:rPr>
          <w:rFonts w:ascii="Arial TUR" w:eastAsia="Times New Roman" w:hAnsi="Arial TUR" w:cs="FrankRuehl" w:hint="cs"/>
          <w:spacing w:val="10"/>
          <w:sz w:val="28"/>
          <w:szCs w:val="28"/>
          <w:rtl/>
        </w:rPr>
        <w:t xml:space="preserve"> הוא מעקרונות היסוד של שיטתנו המשפטית. שורשיו נטועים עמוק בזהותנו כמדינה יהודית ודמוקרטית. יפים לכך דבריו של השופט </w:t>
      </w:r>
      <w:proofErr w:type="spellStart"/>
      <w:r w:rsidRPr="001D7814">
        <w:rPr>
          <w:rFonts w:ascii="Arial TUR" w:eastAsia="Times New Roman" w:hAnsi="Arial TUR" w:cs="FrankRuehl" w:hint="cs"/>
          <w:spacing w:val="10"/>
          <w:sz w:val="28"/>
          <w:szCs w:val="28"/>
          <w:rtl/>
        </w:rPr>
        <w:t>טירקל</w:t>
      </w:r>
      <w:proofErr w:type="spellEnd"/>
      <w:r w:rsidRPr="001D7814">
        <w:rPr>
          <w:rFonts w:ascii="Arial TUR" w:eastAsia="Times New Roman" w:hAnsi="Arial TUR" w:cs="FrankRuehl" w:hint="cs"/>
          <w:spacing w:val="10"/>
          <w:sz w:val="28"/>
          <w:szCs w:val="28"/>
          <w:rtl/>
        </w:rPr>
        <w:t xml:space="preserve"> משכבר הימים (בג"ץ 200/83 </w:t>
      </w:r>
      <w:proofErr w:type="spellStart"/>
      <w:r w:rsidRPr="001D7814">
        <w:rPr>
          <w:rFonts w:ascii="Arial TUR" w:eastAsia="Times New Roman" w:hAnsi="Arial TUR" w:cs="Miriam" w:hint="cs"/>
          <w:sz w:val="24"/>
          <w:szCs w:val="24"/>
          <w:rtl/>
        </w:rPr>
        <w:t>וותאד</w:t>
      </w:r>
      <w:proofErr w:type="spellEnd"/>
      <w:r w:rsidRPr="001D7814">
        <w:rPr>
          <w:rFonts w:ascii="Arial TUR" w:eastAsia="Times New Roman" w:hAnsi="Arial TUR" w:cs="Miriam" w:hint="cs"/>
          <w:sz w:val="24"/>
          <w:szCs w:val="24"/>
          <w:rtl/>
        </w:rPr>
        <w:t xml:space="preserve"> נ' שר האוצר</w:t>
      </w:r>
      <w:r w:rsidRPr="001D7814">
        <w:rPr>
          <w:rFonts w:ascii="Arial TUR" w:eastAsia="Times New Roman" w:hAnsi="Arial TUR" w:cs="FrankRuehl" w:hint="cs"/>
          <w:spacing w:val="10"/>
          <w:sz w:val="28"/>
          <w:szCs w:val="28"/>
          <w:rtl/>
        </w:rPr>
        <w:t xml:space="preserve">, פ"ד לח(3) 113, 119 (1984):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240" w:lineRule="auto"/>
        <w:ind w:left="1642" w:right="1282"/>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"עקרון השוויון ואיסור האפליה, הגלום בצווי 'משפט אחד יהיה לכם כגר כאזרח יהיה...' (</w:t>
      </w:r>
      <w:r w:rsidRPr="001D7814">
        <w:rPr>
          <w:rFonts w:ascii="Arial TUR" w:eastAsia="Times New Roman" w:hAnsi="Arial TUR" w:cs="Miriam" w:hint="cs"/>
          <w:sz w:val="24"/>
          <w:szCs w:val="24"/>
          <w:rtl/>
        </w:rPr>
        <w:t>ויקרא</w:t>
      </w:r>
      <w:r w:rsidRPr="001D7814">
        <w:rPr>
          <w:rFonts w:ascii="Arial TUR" w:eastAsia="Times New Roman" w:hAnsi="Arial TUR" w:cs="FrankRuehl" w:hint="cs"/>
          <w:spacing w:val="10"/>
          <w:sz w:val="28"/>
          <w:szCs w:val="28"/>
          <w:rtl/>
        </w:rPr>
        <w:t xml:space="preserve">, כד, </w:t>
      </w:r>
      <w:proofErr w:type="spellStart"/>
      <w:r w:rsidRPr="001D7814">
        <w:rPr>
          <w:rFonts w:ascii="Arial TUR" w:eastAsia="Times New Roman" w:hAnsi="Arial TUR" w:cs="FrankRuehl" w:hint="cs"/>
          <w:spacing w:val="10"/>
          <w:sz w:val="28"/>
          <w:szCs w:val="28"/>
          <w:rtl/>
        </w:rPr>
        <w:t>כב</w:t>
      </w:r>
      <w:proofErr w:type="spellEnd"/>
      <w:r w:rsidRPr="001D7814">
        <w:rPr>
          <w:rFonts w:ascii="Arial TUR" w:eastAsia="Times New Roman" w:hAnsi="Arial TUR" w:cs="FrankRuehl" w:hint="cs"/>
          <w:spacing w:val="10"/>
          <w:sz w:val="28"/>
          <w:szCs w:val="28"/>
          <w:rtl/>
        </w:rPr>
        <w:t xml:space="preserve">), שנתפרש בפי חז"ל כ'משפט </w:t>
      </w:r>
      <w:proofErr w:type="spellStart"/>
      <w:r w:rsidRPr="001D7814">
        <w:rPr>
          <w:rFonts w:ascii="Arial TUR" w:eastAsia="Times New Roman" w:hAnsi="Arial TUR" w:cs="FrankRuehl" w:hint="cs"/>
          <w:spacing w:val="10"/>
          <w:sz w:val="28"/>
          <w:szCs w:val="28"/>
          <w:rtl/>
        </w:rPr>
        <w:t>השוה</w:t>
      </w:r>
      <w:proofErr w:type="spellEnd"/>
      <w:r w:rsidRPr="001D7814">
        <w:rPr>
          <w:rFonts w:ascii="Arial TUR" w:eastAsia="Times New Roman" w:hAnsi="Arial TUR" w:cs="FrankRuehl" w:hint="cs"/>
          <w:spacing w:val="10"/>
          <w:sz w:val="28"/>
          <w:szCs w:val="28"/>
          <w:rtl/>
        </w:rPr>
        <w:t xml:space="preserve"> לכולכם' (</w:t>
      </w:r>
      <w:r w:rsidRPr="001D7814">
        <w:rPr>
          <w:rFonts w:ascii="Arial TUR" w:eastAsia="Times New Roman" w:hAnsi="Arial TUR" w:cs="Miriam" w:hint="cs"/>
          <w:sz w:val="24"/>
          <w:szCs w:val="24"/>
          <w:rtl/>
        </w:rPr>
        <w:t>כתובות</w:t>
      </w:r>
      <w:r w:rsidRPr="001D7814">
        <w:rPr>
          <w:rFonts w:ascii="Arial TUR" w:eastAsia="Times New Roman" w:hAnsi="Arial TUR" w:cs="FrankRuehl" w:hint="cs"/>
          <w:spacing w:val="10"/>
          <w:sz w:val="28"/>
          <w:szCs w:val="28"/>
          <w:rtl/>
        </w:rPr>
        <w:t xml:space="preserve">, לג, א; </w:t>
      </w:r>
      <w:r w:rsidRPr="001D7814">
        <w:rPr>
          <w:rFonts w:ascii="Arial TUR" w:eastAsia="Times New Roman" w:hAnsi="Arial TUR" w:cs="Miriam" w:hint="cs"/>
          <w:sz w:val="24"/>
          <w:szCs w:val="24"/>
          <w:rtl/>
        </w:rPr>
        <w:t>בבא קמא</w:t>
      </w:r>
      <w:r w:rsidRPr="001D7814">
        <w:rPr>
          <w:rFonts w:ascii="Arial TUR" w:eastAsia="Times New Roman" w:hAnsi="Arial TUR" w:cs="FrankRuehl" w:hint="cs"/>
          <w:spacing w:val="10"/>
          <w:sz w:val="28"/>
          <w:szCs w:val="28"/>
          <w:rtl/>
        </w:rPr>
        <w:t>, פג, ב),</w:t>
      </w:r>
      <w:r w:rsidRPr="001D7814">
        <w:rPr>
          <w:rFonts w:ascii="Arial TUR" w:eastAsia="Times New Roman" w:hAnsi="Arial TUR" w:cs="Arial TUR" w:hint="cs"/>
          <w:spacing w:val="10"/>
        </w:rPr>
        <w:t xml:space="preserve"> </w:t>
      </w:r>
      <w:r w:rsidRPr="001D7814">
        <w:rPr>
          <w:rFonts w:ascii="Arial TUR" w:eastAsia="Times New Roman" w:hAnsi="Arial TUR" w:cs="FrankRuehl" w:hint="cs"/>
          <w:spacing w:val="10"/>
          <w:sz w:val="28"/>
          <w:szCs w:val="28"/>
          <w:rtl/>
        </w:rPr>
        <w:t xml:space="preserve">התקדש בתורת ישראל מאז היה לעם. משחזר לארצו, והכריז על עצמאותה של מדינתו, אחרי אלפי שנות גלות, שבמהלכן היו בניו קורבנותיה של אפליה לרעה בין העמים, חרת בראש מגילת העצמאות את ההבטחה לקיים שוויון זכויות חברתי ומדיני גמור לכל אזרחי המדינה, בלי הבדל דת, גזע ומין. לפיכך מצווים אנו, יותר מכל עם אחר, לדקדק ולבדוק היטב היטב, לבל תיראה ולבל תימצא בקרבנו, בין בגילוי ובין בכיסוי, ערוות דבר של אפליה פסולה, שלא נימצא חלילה מלקים במה שלקינו בו" (ראו גם בג"ץ 98/69 </w:t>
      </w:r>
      <w:r w:rsidRPr="001D7814">
        <w:rPr>
          <w:rFonts w:ascii="Arial TUR" w:eastAsia="Times New Roman" w:hAnsi="Arial TUR" w:cs="Miriam" w:hint="cs"/>
          <w:sz w:val="24"/>
          <w:szCs w:val="24"/>
          <w:rtl/>
        </w:rPr>
        <w:t>ברגמן נ' שר האוצר</w:t>
      </w:r>
      <w:r w:rsidRPr="001D7814">
        <w:rPr>
          <w:rFonts w:ascii="Arial TUR" w:eastAsia="Times New Roman" w:hAnsi="Arial TUR" w:cs="FrankRuehl" w:hint="cs"/>
          <w:spacing w:val="10"/>
          <w:sz w:val="28"/>
          <w:szCs w:val="28"/>
          <w:rtl/>
        </w:rPr>
        <w:t xml:space="preserve">, פ"ד </w:t>
      </w:r>
      <w:proofErr w:type="spellStart"/>
      <w:r w:rsidRPr="001D7814">
        <w:rPr>
          <w:rFonts w:ascii="Arial TUR" w:eastAsia="Times New Roman" w:hAnsi="Arial TUR" w:cs="FrankRuehl" w:hint="cs"/>
          <w:spacing w:val="10"/>
          <w:sz w:val="28"/>
          <w:szCs w:val="28"/>
          <w:rtl/>
        </w:rPr>
        <w:t>כג</w:t>
      </w:r>
      <w:proofErr w:type="spellEnd"/>
      <w:r w:rsidRPr="001D7814">
        <w:rPr>
          <w:rFonts w:ascii="Arial TUR" w:eastAsia="Times New Roman" w:hAnsi="Arial TUR" w:cs="FrankRuehl" w:hint="cs"/>
          <w:spacing w:val="10"/>
          <w:sz w:val="28"/>
          <w:szCs w:val="28"/>
          <w:rtl/>
        </w:rPr>
        <w:t xml:space="preserve">(1) 693 (1969); בג"ץ 7245/10 </w:t>
      </w:r>
      <w:proofErr w:type="spellStart"/>
      <w:r w:rsidRPr="001D7814">
        <w:rPr>
          <w:rFonts w:ascii="Arial TUR" w:eastAsia="Times New Roman" w:hAnsi="Arial TUR" w:cs="Miriam" w:hint="cs"/>
          <w:sz w:val="24"/>
          <w:szCs w:val="24"/>
          <w:rtl/>
        </w:rPr>
        <w:t>עדאללה</w:t>
      </w:r>
      <w:proofErr w:type="spellEnd"/>
      <w:r w:rsidRPr="001D7814">
        <w:rPr>
          <w:rFonts w:ascii="Arial TUR" w:eastAsia="Times New Roman" w:hAnsi="Arial TUR" w:cs="Miriam" w:hint="cs"/>
          <w:sz w:val="24"/>
          <w:szCs w:val="24"/>
          <w:rtl/>
        </w:rPr>
        <w:t xml:space="preserve"> נ' משרד הרווחה</w:t>
      </w:r>
      <w:r w:rsidRPr="001D7814">
        <w:rPr>
          <w:rFonts w:ascii="Arial TUR" w:eastAsia="Times New Roman" w:hAnsi="Arial TUR" w:cs="FrankRuehl" w:hint="cs"/>
          <w:spacing w:val="10"/>
          <w:sz w:val="28"/>
          <w:szCs w:val="28"/>
          <w:rtl/>
        </w:rPr>
        <w:t>, פסקה 48 לפסק-דינה של השופטת ארבל (2013)).</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 xml:space="preserve">           דברים אלה נאמרו בטרם חוק יסוד: כבוד האדם וחירותו, שאף </w:t>
      </w:r>
      <w:proofErr w:type="spellStart"/>
      <w:r w:rsidRPr="001D7814">
        <w:rPr>
          <w:rFonts w:ascii="Arial TUR" w:eastAsia="Times New Roman" w:hAnsi="Arial TUR" w:cs="FrankRuehl" w:hint="cs"/>
          <w:spacing w:val="10"/>
          <w:sz w:val="28"/>
          <w:szCs w:val="28"/>
          <w:rtl/>
        </w:rPr>
        <w:t>שהשויון</w:t>
      </w:r>
      <w:proofErr w:type="spellEnd"/>
      <w:r w:rsidRPr="001D7814">
        <w:rPr>
          <w:rFonts w:ascii="Arial TUR" w:eastAsia="Times New Roman" w:hAnsi="Arial TUR" w:cs="FrankRuehl" w:hint="cs"/>
          <w:spacing w:val="10"/>
          <w:sz w:val="28"/>
          <w:szCs w:val="28"/>
          <w:rtl/>
        </w:rPr>
        <w:t xml:space="preserve"> אינו מופיע בו כלשונו, פורש ככולל אותו (ראו בג"ץ 6427/02 </w:t>
      </w:r>
      <w:r w:rsidRPr="001D7814">
        <w:rPr>
          <w:rFonts w:ascii="Arial TUR" w:eastAsia="Times New Roman" w:hAnsi="Arial TUR" w:cs="Miriam" w:hint="cs"/>
          <w:sz w:val="24"/>
          <w:szCs w:val="24"/>
          <w:rtl/>
        </w:rPr>
        <w:t>התנועה לאיכות השלטון נ' הכנסת</w:t>
      </w:r>
      <w:r w:rsidRPr="001D7814">
        <w:rPr>
          <w:rFonts w:ascii="Arial TUR" w:eastAsia="Times New Roman" w:hAnsi="Arial TUR" w:cs="FrankRuehl" w:hint="cs"/>
          <w:spacing w:val="10"/>
          <w:sz w:val="28"/>
          <w:szCs w:val="28"/>
          <w:rtl/>
        </w:rPr>
        <w:t xml:space="preserve">, פ"ד </w:t>
      </w:r>
      <w:proofErr w:type="spellStart"/>
      <w:r w:rsidRPr="001D7814">
        <w:rPr>
          <w:rFonts w:ascii="Arial TUR" w:eastAsia="Times New Roman" w:hAnsi="Arial TUR" w:cs="FrankRuehl" w:hint="cs"/>
          <w:spacing w:val="10"/>
          <w:sz w:val="28"/>
          <w:szCs w:val="28"/>
          <w:rtl/>
        </w:rPr>
        <w:t>סא</w:t>
      </w:r>
      <w:proofErr w:type="spellEnd"/>
      <w:r w:rsidRPr="001D7814">
        <w:rPr>
          <w:rFonts w:ascii="Arial TUR" w:eastAsia="Times New Roman" w:hAnsi="Arial TUR" w:cs="FrankRuehl" w:hint="cs"/>
          <w:spacing w:val="10"/>
          <w:sz w:val="28"/>
          <w:szCs w:val="28"/>
          <w:rtl/>
        </w:rPr>
        <w:t xml:space="preserve">(1) 619 (2006)) ובעיניי הדבר בחינת פשיטא. ראו בספרי </w:t>
      </w:r>
      <w:r w:rsidRPr="001D7814">
        <w:rPr>
          <w:rFonts w:ascii="Arial TUR" w:eastAsia="Times New Roman" w:hAnsi="Arial TUR" w:cs="Miriam" w:hint="cs"/>
          <w:sz w:val="24"/>
          <w:szCs w:val="24"/>
          <w:rtl/>
        </w:rPr>
        <w:t>נתיבי ממשל ומשפט</w:t>
      </w:r>
      <w:r w:rsidRPr="001D7814">
        <w:rPr>
          <w:rFonts w:ascii="Arial TUR" w:eastAsia="Times New Roman" w:hAnsi="Arial TUR" w:cs="FrankRuehl" w:hint="cs"/>
          <w:spacing w:val="10"/>
          <w:sz w:val="28"/>
          <w:szCs w:val="28"/>
          <w:rtl/>
        </w:rPr>
        <w:t xml:space="preserve"> 280 (תשס"ג-2003): "בבסיסו של עקרון </w:t>
      </w:r>
      <w:proofErr w:type="spellStart"/>
      <w:r w:rsidRPr="001D7814">
        <w:rPr>
          <w:rFonts w:ascii="Arial TUR" w:eastAsia="Times New Roman" w:hAnsi="Arial TUR" w:cs="FrankRuehl" w:hint="cs"/>
          <w:spacing w:val="10"/>
          <w:sz w:val="28"/>
          <w:szCs w:val="28"/>
          <w:rtl/>
        </w:rPr>
        <w:t>השויון</w:t>
      </w:r>
      <w:proofErr w:type="spellEnd"/>
      <w:r w:rsidRPr="001D7814">
        <w:rPr>
          <w:rFonts w:ascii="Arial TUR" w:eastAsia="Times New Roman" w:hAnsi="Arial TUR" w:cs="FrankRuehl" w:hint="cs"/>
          <w:spacing w:val="10"/>
          <w:sz w:val="28"/>
          <w:szCs w:val="28"/>
          <w:rtl/>
        </w:rPr>
        <w:t>, אשר משתלב בעיניי עם שני צדי המשוואה – היהודית והדמוקרטית – עומדת במקורות חכמינו אמרתו של התנא הגדול הלל הזקן – '</w:t>
      </w:r>
      <w:proofErr w:type="spellStart"/>
      <w:r w:rsidRPr="001D7814">
        <w:rPr>
          <w:rFonts w:ascii="Arial TUR" w:eastAsia="Times New Roman" w:hAnsi="Arial TUR" w:cs="FrankRuehl" w:hint="cs"/>
          <w:spacing w:val="10"/>
          <w:sz w:val="28"/>
          <w:szCs w:val="28"/>
          <w:rtl/>
        </w:rPr>
        <w:t>דעלך</w:t>
      </w:r>
      <w:proofErr w:type="spellEnd"/>
      <w:r w:rsidRPr="001D7814">
        <w:rPr>
          <w:rFonts w:ascii="Arial TUR" w:eastAsia="Times New Roman" w:hAnsi="Arial TUR" w:cs="FrankRuehl" w:hint="cs"/>
          <w:spacing w:val="10"/>
          <w:sz w:val="28"/>
          <w:szCs w:val="28"/>
          <w:rtl/>
        </w:rPr>
        <w:t xml:space="preserve"> </w:t>
      </w:r>
      <w:proofErr w:type="spellStart"/>
      <w:r w:rsidRPr="001D7814">
        <w:rPr>
          <w:rFonts w:ascii="Arial TUR" w:eastAsia="Times New Roman" w:hAnsi="Arial TUR" w:cs="FrankRuehl" w:hint="cs"/>
          <w:spacing w:val="10"/>
          <w:sz w:val="28"/>
          <w:szCs w:val="28"/>
          <w:rtl/>
        </w:rPr>
        <w:t>סני</w:t>
      </w:r>
      <w:proofErr w:type="spellEnd"/>
      <w:r w:rsidRPr="001D7814">
        <w:rPr>
          <w:rFonts w:ascii="Arial TUR" w:eastAsia="Times New Roman" w:hAnsi="Arial TUR" w:cs="FrankRuehl" w:hint="cs"/>
          <w:spacing w:val="10"/>
          <w:sz w:val="28"/>
          <w:szCs w:val="28"/>
          <w:rtl/>
        </w:rPr>
        <w:t xml:space="preserve"> לחברך לא תעביד' (מה שעליך שנוא לחברך לא תעשה; בבלי, </w:t>
      </w:r>
      <w:r w:rsidRPr="001D7814">
        <w:rPr>
          <w:rFonts w:ascii="Arial TUR" w:eastAsia="Times New Roman" w:hAnsi="Arial TUR" w:cs="Miriam" w:hint="cs"/>
          <w:sz w:val="24"/>
          <w:szCs w:val="24"/>
          <w:rtl/>
        </w:rPr>
        <w:t>שבת</w:t>
      </w:r>
      <w:r w:rsidRPr="001D7814">
        <w:rPr>
          <w:rFonts w:ascii="Arial TUR" w:eastAsia="Times New Roman" w:hAnsi="Arial TUR" w:cs="FrankRuehl" w:hint="cs"/>
          <w:spacing w:val="10"/>
          <w:sz w:val="28"/>
          <w:szCs w:val="28"/>
          <w:rtl/>
        </w:rPr>
        <w:t xml:space="preserve"> ל"א ע"א)".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proofErr w:type="spellStart"/>
      <w:r w:rsidRPr="001D7814">
        <w:rPr>
          <w:rFonts w:ascii="Arial TUR" w:eastAsia="Times New Roman" w:hAnsi="Arial TUR" w:cs="FrankRuehl" w:hint="cs"/>
          <w:spacing w:val="10"/>
          <w:sz w:val="28"/>
          <w:szCs w:val="28"/>
          <w:rtl/>
        </w:rPr>
        <w:t>יג</w:t>
      </w:r>
      <w:proofErr w:type="spellEnd"/>
      <w:r w:rsidRPr="001D7814">
        <w:rPr>
          <w:rFonts w:ascii="Arial TUR" w:eastAsia="Times New Roman" w:hAnsi="Arial TUR" w:cs="FrankRuehl" w:hint="cs"/>
          <w:spacing w:val="10"/>
          <w:sz w:val="28"/>
          <w:szCs w:val="28"/>
          <w:rtl/>
        </w:rPr>
        <w:t>.</w:t>
      </w:r>
      <w:r w:rsidRPr="001D7814">
        <w:rPr>
          <w:rFonts w:ascii="Times New Roman" w:eastAsia="Times New Roman" w:hAnsi="Times New Roman" w:cs="Times New Roman"/>
          <w:spacing w:val="10"/>
          <w:sz w:val="14"/>
          <w:szCs w:val="14"/>
          <w:rtl/>
        </w:rPr>
        <w:t xml:space="preserve">            </w:t>
      </w:r>
      <w:proofErr w:type="spellStart"/>
      <w:r w:rsidRPr="001D7814">
        <w:rPr>
          <w:rFonts w:ascii="Arial TUR" w:eastAsia="Times New Roman" w:hAnsi="Arial TUR" w:cs="FrankRuehl" w:hint="cs"/>
          <w:spacing w:val="10"/>
          <w:sz w:val="28"/>
          <w:szCs w:val="28"/>
          <w:rtl/>
        </w:rPr>
        <w:t>השויון</w:t>
      </w:r>
      <w:proofErr w:type="spellEnd"/>
      <w:r w:rsidRPr="001D7814">
        <w:rPr>
          <w:rFonts w:ascii="Arial TUR" w:eastAsia="Times New Roman" w:hAnsi="Arial TUR" w:cs="FrankRuehl" w:hint="cs"/>
          <w:spacing w:val="10"/>
          <w:sz w:val="28"/>
          <w:szCs w:val="28"/>
          <w:rtl/>
        </w:rPr>
        <w:t xml:space="preserve"> משמעו – כך מחייב השכל הישר – יחס </w:t>
      </w:r>
      <w:proofErr w:type="spellStart"/>
      <w:r w:rsidRPr="001D7814">
        <w:rPr>
          <w:rFonts w:ascii="Arial TUR" w:eastAsia="Times New Roman" w:hAnsi="Arial TUR" w:cs="FrankRuehl" w:hint="cs"/>
          <w:spacing w:val="10"/>
          <w:sz w:val="28"/>
          <w:szCs w:val="28"/>
          <w:rtl/>
        </w:rPr>
        <w:t>שוה</w:t>
      </w:r>
      <w:proofErr w:type="spellEnd"/>
      <w:r w:rsidRPr="001D7814">
        <w:rPr>
          <w:rFonts w:ascii="Arial TUR" w:eastAsia="Times New Roman" w:hAnsi="Arial TUR" w:cs="FrankRuehl" w:hint="cs"/>
          <w:spacing w:val="10"/>
          <w:sz w:val="28"/>
          <w:szCs w:val="28"/>
          <w:rtl/>
        </w:rPr>
        <w:t xml:space="preserve"> </w:t>
      </w:r>
      <w:proofErr w:type="spellStart"/>
      <w:r w:rsidRPr="001D7814">
        <w:rPr>
          <w:rFonts w:ascii="Arial TUR" w:eastAsia="Times New Roman" w:hAnsi="Arial TUR" w:cs="FrankRuehl" w:hint="cs"/>
          <w:spacing w:val="10"/>
          <w:sz w:val="28"/>
          <w:szCs w:val="28"/>
          <w:rtl/>
        </w:rPr>
        <w:t>לשוים</w:t>
      </w:r>
      <w:proofErr w:type="spellEnd"/>
      <w:r w:rsidRPr="001D7814">
        <w:rPr>
          <w:rFonts w:ascii="Arial TUR" w:eastAsia="Times New Roman" w:hAnsi="Arial TUR" w:cs="FrankRuehl" w:hint="cs"/>
          <w:spacing w:val="10"/>
          <w:sz w:val="28"/>
          <w:szCs w:val="28"/>
          <w:rtl/>
        </w:rPr>
        <w:t xml:space="preserve"> (ראו בג"ץ 528/88 </w:t>
      </w:r>
      <w:proofErr w:type="spellStart"/>
      <w:r w:rsidRPr="001D7814">
        <w:rPr>
          <w:rFonts w:ascii="Arial TUR" w:eastAsia="Times New Roman" w:hAnsi="Arial TUR" w:cs="Miriam" w:hint="cs"/>
          <w:sz w:val="24"/>
          <w:szCs w:val="24"/>
          <w:rtl/>
        </w:rPr>
        <w:t>אביטן</w:t>
      </w:r>
      <w:proofErr w:type="spellEnd"/>
      <w:r w:rsidRPr="001D7814">
        <w:rPr>
          <w:rFonts w:ascii="Arial TUR" w:eastAsia="Times New Roman" w:hAnsi="Arial TUR" w:cs="Miriam" w:hint="cs"/>
          <w:sz w:val="24"/>
          <w:szCs w:val="24"/>
          <w:rtl/>
        </w:rPr>
        <w:t xml:space="preserve"> נ' </w:t>
      </w:r>
      <w:proofErr w:type="spellStart"/>
      <w:r w:rsidRPr="001D7814">
        <w:rPr>
          <w:rFonts w:ascii="Arial TUR" w:eastAsia="Times New Roman" w:hAnsi="Arial TUR" w:cs="Miriam" w:hint="cs"/>
          <w:sz w:val="24"/>
          <w:szCs w:val="24"/>
          <w:rtl/>
        </w:rPr>
        <w:t>מינהל</w:t>
      </w:r>
      <w:proofErr w:type="spellEnd"/>
      <w:r w:rsidRPr="001D7814">
        <w:rPr>
          <w:rFonts w:ascii="Arial TUR" w:eastAsia="Times New Roman" w:hAnsi="Arial TUR" w:cs="Miriam" w:hint="cs"/>
          <w:sz w:val="24"/>
          <w:szCs w:val="24"/>
          <w:rtl/>
        </w:rPr>
        <w:t xml:space="preserve"> מקרקעי ישראל</w:t>
      </w:r>
      <w:r w:rsidRPr="001D7814">
        <w:rPr>
          <w:rFonts w:ascii="Arial TUR" w:eastAsia="Times New Roman" w:hAnsi="Arial TUR" w:cs="FrankRuehl" w:hint="cs"/>
          <w:spacing w:val="10"/>
          <w:sz w:val="28"/>
          <w:szCs w:val="28"/>
          <w:rtl/>
        </w:rPr>
        <w:t xml:space="preserve">, פ"ד מג(4) 297, 300 (1989)). ודוק, המאפיין המשותף לקבוצת </w:t>
      </w:r>
      <w:proofErr w:type="spellStart"/>
      <w:r w:rsidRPr="001D7814">
        <w:rPr>
          <w:rFonts w:ascii="Arial TUR" w:eastAsia="Times New Roman" w:hAnsi="Arial TUR" w:cs="FrankRuehl" w:hint="cs"/>
          <w:spacing w:val="10"/>
          <w:sz w:val="28"/>
          <w:szCs w:val="28"/>
          <w:rtl/>
        </w:rPr>
        <w:t>השויון</w:t>
      </w:r>
      <w:proofErr w:type="spellEnd"/>
      <w:r w:rsidRPr="001D7814">
        <w:rPr>
          <w:rFonts w:ascii="Arial TUR" w:eastAsia="Times New Roman" w:hAnsi="Arial TUR" w:cs="FrankRuehl" w:hint="cs"/>
          <w:spacing w:val="10"/>
          <w:sz w:val="28"/>
          <w:szCs w:val="28"/>
          <w:rtl/>
        </w:rPr>
        <w:t xml:space="preserve"> אינו פורמלי, אלא מהותי. כך נקבע בבג"ץ 1438/98 </w:t>
      </w:r>
      <w:r w:rsidRPr="001D7814">
        <w:rPr>
          <w:rFonts w:ascii="Arial TUR" w:eastAsia="Times New Roman" w:hAnsi="Arial TUR" w:cs="Miriam" w:hint="cs"/>
          <w:sz w:val="24"/>
          <w:szCs w:val="24"/>
          <w:rtl/>
        </w:rPr>
        <w:t>התנועה המסורתית נ' השר לענייני דתות</w:t>
      </w:r>
      <w:r w:rsidRPr="001D7814">
        <w:rPr>
          <w:rFonts w:ascii="Arial TUR" w:eastAsia="Times New Roman" w:hAnsi="Arial TUR" w:cs="FrankRuehl" w:hint="cs"/>
          <w:spacing w:val="10"/>
          <w:sz w:val="28"/>
          <w:szCs w:val="28"/>
          <w:rtl/>
        </w:rPr>
        <w:t xml:space="preserve">, פ"ד </w:t>
      </w:r>
      <w:proofErr w:type="spellStart"/>
      <w:r w:rsidRPr="001D7814">
        <w:rPr>
          <w:rFonts w:ascii="Arial TUR" w:eastAsia="Times New Roman" w:hAnsi="Arial TUR" w:cs="FrankRuehl" w:hint="cs"/>
          <w:spacing w:val="10"/>
          <w:sz w:val="28"/>
          <w:szCs w:val="28"/>
          <w:rtl/>
        </w:rPr>
        <w:t>נג</w:t>
      </w:r>
      <w:proofErr w:type="spellEnd"/>
      <w:r w:rsidRPr="001D7814">
        <w:rPr>
          <w:rFonts w:ascii="Arial TUR" w:eastAsia="Times New Roman" w:hAnsi="Arial TUR" w:cs="FrankRuehl" w:hint="cs"/>
          <w:spacing w:val="10"/>
          <w:sz w:val="28"/>
          <w:szCs w:val="28"/>
          <w:rtl/>
        </w:rPr>
        <w:t xml:space="preserve">(5) 337 (1999)), כי החלטת משרד הדתות להעניק תמיכה תקציבית רק למוסדות העוסקים בתרבות תורנית מעל גודל מסוים – אינה </w:t>
      </w:r>
      <w:proofErr w:type="spellStart"/>
      <w:r w:rsidRPr="001D7814">
        <w:rPr>
          <w:rFonts w:ascii="Arial TUR" w:eastAsia="Times New Roman" w:hAnsi="Arial TUR" w:cs="FrankRuehl" w:hint="cs"/>
          <w:spacing w:val="10"/>
          <w:sz w:val="28"/>
          <w:szCs w:val="28"/>
          <w:rtl/>
        </w:rPr>
        <w:t>שויונית</w:t>
      </w:r>
      <w:proofErr w:type="spellEnd"/>
      <w:r w:rsidRPr="001D7814">
        <w:rPr>
          <w:rFonts w:ascii="Arial TUR" w:eastAsia="Times New Roman" w:hAnsi="Arial TUR" w:cs="FrankRuehl" w:hint="cs"/>
          <w:spacing w:val="10"/>
          <w:sz w:val="28"/>
          <w:szCs w:val="28"/>
          <w:rtl/>
        </w:rPr>
        <w:t xml:space="preserve">; זאת שכן גודל המוסד אינו המאפיין הרלבנטי היחידי לקבוצת </w:t>
      </w:r>
      <w:proofErr w:type="spellStart"/>
      <w:r w:rsidRPr="001D7814">
        <w:rPr>
          <w:rFonts w:ascii="Arial TUR" w:eastAsia="Times New Roman" w:hAnsi="Arial TUR" w:cs="FrankRuehl" w:hint="cs"/>
          <w:spacing w:val="10"/>
          <w:sz w:val="28"/>
          <w:szCs w:val="28"/>
          <w:rtl/>
        </w:rPr>
        <w:t>השויון</w:t>
      </w:r>
      <w:proofErr w:type="spellEnd"/>
      <w:r w:rsidRPr="001D7814">
        <w:rPr>
          <w:rFonts w:ascii="Arial TUR" w:eastAsia="Times New Roman" w:hAnsi="Arial TUR" w:cs="FrankRuehl" w:hint="cs"/>
          <w:spacing w:val="10"/>
          <w:sz w:val="28"/>
          <w:szCs w:val="28"/>
          <w:rtl/>
        </w:rPr>
        <w:t xml:space="preserve"> בעניין זה. מסר דומה עולה גם מקריאת פסק-הדין בבג"ץ 11163/03 </w:t>
      </w:r>
      <w:r w:rsidRPr="001D7814">
        <w:rPr>
          <w:rFonts w:ascii="Arial TUR" w:eastAsia="Times New Roman" w:hAnsi="Arial TUR" w:cs="Miriam" w:hint="cs"/>
          <w:sz w:val="24"/>
          <w:szCs w:val="24"/>
          <w:rtl/>
        </w:rPr>
        <w:t>ועדת המעקב העליונה נ' ראש ממשלת ישראל</w:t>
      </w:r>
      <w:r w:rsidRPr="001D7814">
        <w:rPr>
          <w:rFonts w:ascii="Arial TUR" w:eastAsia="Times New Roman" w:hAnsi="Arial TUR" w:cs="FrankRuehl" w:hint="cs"/>
          <w:spacing w:val="10"/>
          <w:sz w:val="28"/>
          <w:szCs w:val="28"/>
          <w:rtl/>
        </w:rPr>
        <w:t xml:space="preserve"> (2006), בו נקבע, כי מדיניות הממשלה להענקת הטבות על בסיס גיאוגרפי מביאה לתוצאה מפלה ופסולה, כך שאף אם מבחינה פורמלית הקריטריונים </w:t>
      </w:r>
      <w:proofErr w:type="spellStart"/>
      <w:r w:rsidRPr="001D7814">
        <w:rPr>
          <w:rFonts w:ascii="Arial TUR" w:eastAsia="Times New Roman" w:hAnsi="Arial TUR" w:cs="FrankRuehl" w:hint="cs"/>
          <w:spacing w:val="10"/>
          <w:sz w:val="28"/>
          <w:szCs w:val="28"/>
          <w:rtl/>
        </w:rPr>
        <w:t>שויוניים</w:t>
      </w:r>
      <w:proofErr w:type="spellEnd"/>
      <w:r w:rsidRPr="001D7814">
        <w:rPr>
          <w:rFonts w:ascii="Arial TUR" w:eastAsia="Times New Roman" w:hAnsi="Arial TUR" w:cs="FrankRuehl" w:hint="cs"/>
          <w:spacing w:val="10"/>
          <w:sz w:val="28"/>
          <w:szCs w:val="28"/>
          <w:rtl/>
        </w:rPr>
        <w:t xml:space="preserve"> – מבחינה מהותית נגרמת הפליה. באופן דומה, עלינו כעת לבחון האם מותר למשרד הדתות להבחין בין גיור "ממלכתי" לגיור פרטי לעניין הגישה </w:t>
      </w:r>
      <w:proofErr w:type="spellStart"/>
      <w:r w:rsidRPr="001D7814">
        <w:rPr>
          <w:rFonts w:ascii="Arial TUR" w:eastAsia="Times New Roman" w:hAnsi="Arial TUR" w:cs="FrankRuehl" w:hint="cs"/>
          <w:spacing w:val="10"/>
          <w:sz w:val="28"/>
          <w:szCs w:val="28"/>
          <w:rtl/>
        </w:rPr>
        <w:t>למקואות</w:t>
      </w:r>
      <w:proofErr w:type="spellEnd"/>
      <w:r w:rsidRPr="001D7814">
        <w:rPr>
          <w:rFonts w:ascii="Arial TUR" w:eastAsia="Times New Roman" w:hAnsi="Arial TUR" w:cs="FrankRuehl" w:hint="cs"/>
          <w:spacing w:val="10"/>
          <w:sz w:val="28"/>
          <w:szCs w:val="28"/>
          <w:rtl/>
        </w:rPr>
        <w:t xml:space="preserve"> ציבוריים.</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יד.</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לשיטת משיבי המדינה, ההבחנה בין גיור ממלכתי לפרטי לעניין </w:t>
      </w:r>
      <w:proofErr w:type="spellStart"/>
      <w:r w:rsidRPr="001D7814">
        <w:rPr>
          <w:rFonts w:ascii="Arial TUR" w:eastAsia="Times New Roman" w:hAnsi="Arial TUR" w:cs="FrankRuehl" w:hint="cs"/>
          <w:spacing w:val="10"/>
          <w:sz w:val="28"/>
          <w:szCs w:val="28"/>
          <w:rtl/>
        </w:rPr>
        <w:t>המקואות</w:t>
      </w:r>
      <w:proofErr w:type="spellEnd"/>
      <w:r w:rsidRPr="001D7814">
        <w:rPr>
          <w:rFonts w:ascii="Arial TUR" w:eastAsia="Times New Roman" w:hAnsi="Arial TUR" w:cs="FrankRuehl" w:hint="cs"/>
          <w:spacing w:val="10"/>
          <w:sz w:val="28"/>
          <w:szCs w:val="28"/>
          <w:rtl/>
        </w:rPr>
        <w:t xml:space="preserve"> מוצדקת – כאמור – משלושה נימוקים: (1) הפיקוח הקיים על מערך הגיור הממלכתי, שנעדר בגיור הפרטי; (2) הנפקות המשפטית הנובעת מן הגיור הממלכתי, שנעדרת בגיור פרטי; (3) לגיור הממלכתי "</w:t>
      </w:r>
      <w:proofErr w:type="spellStart"/>
      <w:r w:rsidRPr="001D7814">
        <w:rPr>
          <w:rFonts w:ascii="Arial TUR" w:eastAsia="Times New Roman" w:hAnsi="Arial TUR" w:cs="FrankRuehl" w:hint="cs"/>
          <w:spacing w:val="10"/>
          <w:sz w:val="28"/>
          <w:szCs w:val="28"/>
          <w:rtl/>
        </w:rPr>
        <w:t>מימד</w:t>
      </w:r>
      <w:proofErr w:type="spellEnd"/>
      <w:r w:rsidRPr="001D7814">
        <w:rPr>
          <w:rFonts w:ascii="Arial TUR" w:eastAsia="Times New Roman" w:hAnsi="Arial TUR" w:cs="FrankRuehl" w:hint="cs"/>
          <w:spacing w:val="10"/>
          <w:sz w:val="28"/>
          <w:szCs w:val="28"/>
          <w:rtl/>
        </w:rPr>
        <w:t xml:space="preserve"> ציבורי". חוששני, כי נימוקים אלה, אף שאין לבטלם במובנים מסוימים, וכאמור אילו זכינו בחקיקה מתאימה אולי ניתן היה להשיג הרמוניה </w:t>
      </w:r>
      <w:proofErr w:type="spellStart"/>
      <w:r w:rsidRPr="001D7814">
        <w:rPr>
          <w:rFonts w:ascii="Arial TUR" w:eastAsia="Times New Roman" w:hAnsi="Arial TUR" w:cs="FrankRuehl" w:hint="cs"/>
          <w:spacing w:val="10"/>
          <w:sz w:val="28"/>
          <w:szCs w:val="28"/>
          <w:rtl/>
        </w:rPr>
        <w:t>גיורית</w:t>
      </w:r>
      <w:proofErr w:type="spellEnd"/>
      <w:r w:rsidRPr="001D7814">
        <w:rPr>
          <w:rFonts w:ascii="Arial TUR" w:eastAsia="Times New Roman" w:hAnsi="Arial TUR" w:cs="FrankRuehl" w:hint="cs"/>
          <w:spacing w:val="10"/>
          <w:sz w:val="28"/>
          <w:szCs w:val="28"/>
          <w:rtl/>
        </w:rPr>
        <w:t xml:space="preserve">, ולא בשמים היא – אינם יכולים להצדיק מניעת טבילה לשם גיורים פרטיים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הציבוריים; זאת כפי שינומק להלן. נציין כאן, כי דברים אלה באים בטרם הכרעה בתיקי הגיור שנזכרו בפסקה ב' מעלה, וכמובן הכרעתנו כאן כפופה להכרעות שם, בלא שניטע כל מסמרות.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Arial TUR"/>
          <w:spacing w:val="10"/>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טו.</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Miriam" w:hint="cs"/>
          <w:sz w:val="24"/>
          <w:szCs w:val="24"/>
          <w:rtl/>
        </w:rPr>
        <w:t>ראשית</w:t>
      </w:r>
      <w:r w:rsidRPr="001D7814">
        <w:rPr>
          <w:rFonts w:ascii="Arial TUR" w:eastAsia="Times New Roman" w:hAnsi="Arial TUR" w:cs="FrankRuehl" w:hint="cs"/>
          <w:spacing w:val="10"/>
          <w:sz w:val="28"/>
          <w:szCs w:val="28"/>
          <w:rtl/>
        </w:rPr>
        <w:t xml:space="preserve"> – והדברים נאמרים בבחינת פשיטא – מדינת ישראל חופשית כמובן לפקח על השימוש שנעשה </w:t>
      </w:r>
      <w:proofErr w:type="spellStart"/>
      <w:r w:rsidRPr="001D7814">
        <w:rPr>
          <w:rFonts w:ascii="Arial TUR" w:eastAsia="Times New Roman" w:hAnsi="Arial TUR" w:cs="FrankRuehl" w:hint="cs"/>
          <w:spacing w:val="10"/>
          <w:sz w:val="28"/>
          <w:szCs w:val="28"/>
          <w:rtl/>
        </w:rPr>
        <w:t>במקואותיה</w:t>
      </w:r>
      <w:proofErr w:type="spellEnd"/>
      <w:r w:rsidRPr="001D7814">
        <w:rPr>
          <w:rFonts w:ascii="Arial TUR" w:eastAsia="Times New Roman" w:hAnsi="Arial TUR" w:cs="FrankRuehl" w:hint="cs"/>
          <w:spacing w:val="10"/>
          <w:sz w:val="28"/>
          <w:szCs w:val="28"/>
          <w:rtl/>
        </w:rPr>
        <w:t xml:space="preserve">, ככל שמדובר באסדרה </w:t>
      </w:r>
      <w:proofErr w:type="spellStart"/>
      <w:r w:rsidRPr="001D7814">
        <w:rPr>
          <w:rFonts w:ascii="Arial TUR" w:eastAsia="Times New Roman" w:hAnsi="Arial TUR" w:cs="FrankRuehl" w:hint="cs"/>
          <w:spacing w:val="10"/>
          <w:sz w:val="28"/>
          <w:szCs w:val="28"/>
          <w:rtl/>
        </w:rPr>
        <w:t>שויונית</w:t>
      </w:r>
      <w:proofErr w:type="spellEnd"/>
      <w:r w:rsidRPr="001D7814">
        <w:rPr>
          <w:rFonts w:ascii="Arial TUR" w:eastAsia="Times New Roman" w:hAnsi="Arial TUR" w:cs="FrankRuehl" w:hint="cs"/>
          <w:spacing w:val="10"/>
          <w:sz w:val="28"/>
          <w:szCs w:val="28"/>
          <w:rtl/>
        </w:rPr>
        <w:t xml:space="preserve">. </w:t>
      </w:r>
      <w:r w:rsidRPr="0017039B">
        <w:rPr>
          <w:rFonts w:ascii="Arial TUR" w:eastAsia="Times New Roman" w:hAnsi="Arial TUR" w:cs="Miriam" w:hint="cs"/>
          <w:sz w:val="24"/>
          <w:szCs w:val="24"/>
          <w:highlight w:val="yellow"/>
          <w:rtl/>
        </w:rPr>
        <w:t>בחירתה</w:t>
      </w:r>
      <w:r w:rsidRPr="0017039B">
        <w:rPr>
          <w:rFonts w:ascii="Arial TUR" w:eastAsia="Times New Roman" w:hAnsi="Arial TUR" w:cs="FrankRuehl" w:hint="cs"/>
          <w:spacing w:val="10"/>
          <w:sz w:val="28"/>
          <w:szCs w:val="28"/>
          <w:highlight w:val="yellow"/>
          <w:rtl/>
        </w:rPr>
        <w:t xml:space="preserve"> של המדינה שלא לפקח על טבילה הנערכת במסגרת גיור פרטי, אינה יכולה להצדיק מניעה של טבילה מסוג זה. השכל הישר אינו מאפשר לקבל את הטענה, לפיה ההפליה שננקטת בפועל (בגישה </w:t>
      </w:r>
      <w:proofErr w:type="spellStart"/>
      <w:r w:rsidRPr="0017039B">
        <w:rPr>
          <w:rFonts w:ascii="Arial TUR" w:eastAsia="Times New Roman" w:hAnsi="Arial TUR" w:cs="FrankRuehl" w:hint="cs"/>
          <w:spacing w:val="10"/>
          <w:sz w:val="28"/>
          <w:szCs w:val="28"/>
          <w:highlight w:val="yellow"/>
          <w:rtl/>
        </w:rPr>
        <w:t>למקואות</w:t>
      </w:r>
      <w:proofErr w:type="spellEnd"/>
      <w:r w:rsidRPr="0017039B">
        <w:rPr>
          <w:rFonts w:ascii="Arial TUR" w:eastAsia="Times New Roman" w:hAnsi="Arial TUR" w:cs="FrankRuehl" w:hint="cs"/>
          <w:spacing w:val="10"/>
          <w:sz w:val="28"/>
          <w:szCs w:val="28"/>
          <w:highlight w:val="yellow"/>
          <w:rtl/>
        </w:rPr>
        <w:t>) מוצדקת מחמת כך שקיימת הפליה ברובד המדיניות הכללית (בבחירה על מי לפקח וכיצד).</w:t>
      </w:r>
      <w:r w:rsidRPr="001D7814">
        <w:rPr>
          <w:rFonts w:ascii="Arial TUR" w:eastAsia="Times New Roman" w:hAnsi="Arial TUR" w:cs="FrankRuehl" w:hint="cs"/>
          <w:spacing w:val="10"/>
          <w:sz w:val="28"/>
          <w:szCs w:val="28"/>
          <w:rtl/>
        </w:rPr>
        <w:t xml:space="preserve"> התנהלות זו אינה עולה בקנה אחד עם חובתה של רשות </w:t>
      </w:r>
      <w:proofErr w:type="spellStart"/>
      <w:r w:rsidRPr="001D7814">
        <w:rPr>
          <w:rFonts w:ascii="Arial TUR" w:eastAsia="Times New Roman" w:hAnsi="Arial TUR" w:cs="FrankRuehl" w:hint="cs"/>
          <w:spacing w:val="10"/>
          <w:sz w:val="28"/>
          <w:szCs w:val="28"/>
          <w:rtl/>
        </w:rPr>
        <w:t>מינהלית</w:t>
      </w:r>
      <w:proofErr w:type="spellEnd"/>
      <w:r w:rsidRPr="001D7814">
        <w:rPr>
          <w:rFonts w:ascii="Arial TUR" w:eastAsia="Times New Roman" w:hAnsi="Arial TUR" w:cs="FrankRuehl" w:hint="cs"/>
          <w:spacing w:val="10"/>
          <w:sz w:val="28"/>
          <w:szCs w:val="28"/>
          <w:rtl/>
        </w:rPr>
        <w:t xml:space="preserve"> לפעול </w:t>
      </w:r>
      <w:proofErr w:type="spellStart"/>
      <w:r w:rsidRPr="001D7814">
        <w:rPr>
          <w:rFonts w:ascii="Arial TUR" w:eastAsia="Times New Roman" w:hAnsi="Arial TUR" w:cs="FrankRuehl" w:hint="cs"/>
          <w:spacing w:val="10"/>
          <w:sz w:val="28"/>
          <w:szCs w:val="28"/>
          <w:rtl/>
        </w:rPr>
        <w:t>בשויון</w:t>
      </w:r>
      <w:proofErr w:type="spellEnd"/>
      <w:r w:rsidRPr="001D7814">
        <w:rPr>
          <w:rFonts w:ascii="Arial TUR" w:eastAsia="Times New Roman" w:hAnsi="Arial TUR" w:cs="FrankRuehl" w:hint="cs"/>
          <w:spacing w:val="10"/>
          <w:sz w:val="28"/>
          <w:szCs w:val="28"/>
          <w:rtl/>
        </w:rPr>
        <w:t xml:space="preserve"> בכל פעולה מפעולותיה (בג"ץ 6698/95 </w:t>
      </w:r>
      <w:proofErr w:type="spellStart"/>
      <w:r w:rsidRPr="001D7814">
        <w:rPr>
          <w:rFonts w:ascii="Arial TUR" w:eastAsia="Times New Roman" w:hAnsi="Arial TUR" w:cs="Miriam" w:hint="cs"/>
          <w:sz w:val="24"/>
          <w:szCs w:val="24"/>
          <w:rtl/>
        </w:rPr>
        <w:t>קעדאן</w:t>
      </w:r>
      <w:proofErr w:type="spellEnd"/>
      <w:r w:rsidRPr="001D7814">
        <w:rPr>
          <w:rFonts w:ascii="Arial TUR" w:eastAsia="Times New Roman" w:hAnsi="Arial TUR" w:cs="Miriam" w:hint="cs"/>
          <w:sz w:val="24"/>
          <w:szCs w:val="24"/>
          <w:rtl/>
        </w:rPr>
        <w:t xml:space="preserve"> נ' </w:t>
      </w:r>
      <w:proofErr w:type="spellStart"/>
      <w:r w:rsidRPr="001D7814">
        <w:rPr>
          <w:rFonts w:ascii="Arial TUR" w:eastAsia="Times New Roman" w:hAnsi="Arial TUR" w:cs="Miriam" w:hint="cs"/>
          <w:sz w:val="24"/>
          <w:szCs w:val="24"/>
          <w:rtl/>
        </w:rPr>
        <w:t>מינהל</w:t>
      </w:r>
      <w:proofErr w:type="spellEnd"/>
      <w:r w:rsidRPr="001D7814">
        <w:rPr>
          <w:rFonts w:ascii="Arial TUR" w:eastAsia="Times New Roman" w:hAnsi="Arial TUR" w:cs="Miriam" w:hint="cs"/>
          <w:sz w:val="24"/>
          <w:szCs w:val="24"/>
          <w:rtl/>
        </w:rPr>
        <w:t xml:space="preserve"> מקרקעי ישראל</w:t>
      </w:r>
      <w:r w:rsidRPr="001D7814">
        <w:rPr>
          <w:rFonts w:ascii="Arial TUR" w:eastAsia="Times New Roman" w:hAnsi="Arial TUR" w:cs="FrankRuehl" w:hint="cs"/>
          <w:spacing w:val="10"/>
          <w:sz w:val="28"/>
          <w:szCs w:val="28"/>
          <w:rtl/>
        </w:rPr>
        <w:t xml:space="preserve">, פ"ד נד(1) 258, 274 (2000); </w:t>
      </w:r>
      <w:proofErr w:type="spellStart"/>
      <w:r w:rsidRPr="001D7814">
        <w:rPr>
          <w:rFonts w:ascii="Arial TUR" w:eastAsia="Times New Roman" w:hAnsi="Arial TUR" w:cs="FrankRuehl" w:hint="cs"/>
          <w:spacing w:val="10"/>
          <w:sz w:val="28"/>
          <w:szCs w:val="28"/>
          <w:rtl/>
        </w:rPr>
        <w:t>עע"מ</w:t>
      </w:r>
      <w:proofErr w:type="spellEnd"/>
      <w:r w:rsidRPr="001D7814">
        <w:rPr>
          <w:rFonts w:ascii="Arial TUR" w:eastAsia="Times New Roman" w:hAnsi="Arial TUR" w:cs="FrankRuehl" w:hint="cs"/>
          <w:spacing w:val="10"/>
          <w:sz w:val="28"/>
          <w:szCs w:val="28"/>
          <w:rtl/>
        </w:rPr>
        <w:t xml:space="preserve"> 7335/10 </w:t>
      </w:r>
      <w:r w:rsidRPr="001D7814">
        <w:rPr>
          <w:rFonts w:ascii="Arial TUR" w:eastAsia="Times New Roman" w:hAnsi="Arial TUR" w:cs="Miriam" w:hint="cs"/>
          <w:sz w:val="24"/>
          <w:szCs w:val="24"/>
          <w:rtl/>
        </w:rPr>
        <w:t xml:space="preserve">קצין התגמולים נ' </w:t>
      </w:r>
      <w:proofErr w:type="spellStart"/>
      <w:r w:rsidRPr="001D7814">
        <w:rPr>
          <w:rFonts w:ascii="Arial TUR" w:eastAsia="Times New Roman" w:hAnsi="Arial TUR" w:cs="Miriam" w:hint="cs"/>
          <w:sz w:val="24"/>
          <w:szCs w:val="24"/>
          <w:rtl/>
        </w:rPr>
        <w:t>לופו</w:t>
      </w:r>
      <w:proofErr w:type="spellEnd"/>
      <w:r w:rsidRPr="001D7814">
        <w:rPr>
          <w:rFonts w:ascii="Arial TUR" w:eastAsia="Times New Roman" w:hAnsi="Arial TUR" w:cs="FrankRuehl" w:hint="cs"/>
          <w:spacing w:val="10"/>
          <w:sz w:val="28"/>
          <w:szCs w:val="28"/>
          <w:rtl/>
        </w:rPr>
        <w:t>, פסקה כ"א (2013)).</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Arial TUR"/>
          <w:spacing w:val="10"/>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proofErr w:type="spellStart"/>
      <w:r w:rsidRPr="001D7814">
        <w:rPr>
          <w:rFonts w:ascii="Arial TUR" w:eastAsia="Times New Roman" w:hAnsi="Arial TUR" w:cs="FrankRuehl" w:hint="cs"/>
          <w:spacing w:val="10"/>
          <w:sz w:val="28"/>
          <w:szCs w:val="28"/>
          <w:rtl/>
        </w:rPr>
        <w:t>טז</w:t>
      </w:r>
      <w:proofErr w:type="spellEnd"/>
      <w:r w:rsidRPr="001D7814">
        <w:rPr>
          <w:rFonts w:ascii="Arial TUR" w:eastAsia="Times New Roman" w:hAnsi="Arial TUR" w:cs="FrankRuehl" w:hint="cs"/>
          <w:spacing w:val="10"/>
          <w:sz w:val="28"/>
          <w:szCs w:val="28"/>
          <w:rtl/>
        </w:rPr>
        <w:t>.</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Miriam" w:hint="cs"/>
          <w:sz w:val="24"/>
          <w:szCs w:val="24"/>
          <w:rtl/>
        </w:rPr>
        <w:t>שנית</w:t>
      </w:r>
      <w:r w:rsidRPr="001D7814">
        <w:rPr>
          <w:rFonts w:ascii="Arial TUR" w:eastAsia="Times New Roman" w:hAnsi="Arial TUR" w:cs="FrankRuehl" w:hint="cs"/>
          <w:spacing w:val="10"/>
          <w:sz w:val="28"/>
          <w:szCs w:val="28"/>
          <w:rtl/>
        </w:rPr>
        <w:t xml:space="preserve">, הנפקות המשפטית של הטבילה </w:t>
      </w:r>
      <w:proofErr w:type="spellStart"/>
      <w:r w:rsidRPr="001D7814">
        <w:rPr>
          <w:rFonts w:ascii="Arial TUR" w:eastAsia="Times New Roman" w:hAnsi="Arial TUR" w:cs="FrankRuehl" w:hint="cs"/>
          <w:spacing w:val="10"/>
          <w:sz w:val="28"/>
          <w:szCs w:val="28"/>
          <w:rtl/>
        </w:rPr>
        <w:t>במקוה</w:t>
      </w:r>
      <w:proofErr w:type="spellEnd"/>
      <w:r w:rsidRPr="001D7814">
        <w:rPr>
          <w:rFonts w:ascii="Arial TUR" w:eastAsia="Times New Roman" w:hAnsi="Arial TUR" w:cs="FrankRuehl" w:hint="cs"/>
          <w:spacing w:val="10"/>
          <w:sz w:val="28"/>
          <w:szCs w:val="28"/>
          <w:rtl/>
        </w:rPr>
        <w:t xml:space="preserve"> וסוגית הגיור שאינו ממלכתי – אשר, כאמור, תלויה ועומדת בבית משפט זה – אינה רלבנטית לעניין הצבת הגבלות על עצם הטבילה. ככלל, </w:t>
      </w:r>
      <w:r w:rsidRPr="0017039B">
        <w:rPr>
          <w:rFonts w:ascii="Arial TUR" w:eastAsia="Times New Roman" w:hAnsi="Arial TUR" w:cs="FrankRuehl" w:hint="cs"/>
          <w:spacing w:val="10"/>
          <w:sz w:val="28"/>
          <w:szCs w:val="28"/>
          <w:highlight w:val="yellow"/>
          <w:rtl/>
        </w:rPr>
        <w:t xml:space="preserve">המעשה הדתי לחוד </w:t>
      </w:r>
      <w:proofErr w:type="spellStart"/>
      <w:r w:rsidRPr="0017039B">
        <w:rPr>
          <w:rFonts w:ascii="Arial TUR" w:eastAsia="Times New Roman" w:hAnsi="Arial TUR" w:cs="FrankRuehl" w:hint="cs"/>
          <w:spacing w:val="10"/>
          <w:sz w:val="28"/>
          <w:szCs w:val="28"/>
          <w:highlight w:val="yellow"/>
          <w:rtl/>
        </w:rPr>
        <w:t>ונפקותו</w:t>
      </w:r>
      <w:proofErr w:type="spellEnd"/>
      <w:r w:rsidRPr="0017039B">
        <w:rPr>
          <w:rFonts w:ascii="Arial TUR" w:eastAsia="Times New Roman" w:hAnsi="Arial TUR" w:cs="FrankRuehl" w:hint="cs"/>
          <w:spacing w:val="10"/>
          <w:sz w:val="28"/>
          <w:szCs w:val="28"/>
          <w:highlight w:val="yellow"/>
          <w:rtl/>
        </w:rPr>
        <w:t xml:space="preserve"> המשפטית לחוד</w:t>
      </w:r>
      <w:r w:rsidRPr="001D7814">
        <w:rPr>
          <w:rFonts w:ascii="Arial TUR" w:eastAsia="Times New Roman" w:hAnsi="Arial TUR" w:cs="FrankRuehl" w:hint="cs"/>
          <w:spacing w:val="10"/>
          <w:sz w:val="28"/>
          <w:szCs w:val="28"/>
          <w:rtl/>
        </w:rPr>
        <w:t xml:space="preserve">. אמנם, אין לכחד, כי בישראל אין נהוגה הפרדת דת ומדינה לפי המודל האמריקני או הצרפתי, וישנן נקודות מסוימות בהן בחר המחוקק להציב מגבלות על פרקטיקה דתית אשר מתבצעת על-ידי גופים פרטיים, כדי למנוע הטעיה ואנדרלמוסיה. עם זאת, הכלל הבסיסי הוא ש"כל אדם רשאי [...] לעבוד את אלוהיו על-פי דרכו ועל-פי הכרתו" (בג"ץ 563/77 </w:t>
      </w:r>
      <w:proofErr w:type="spellStart"/>
      <w:r w:rsidRPr="001D7814">
        <w:rPr>
          <w:rFonts w:ascii="Arial TUR" w:eastAsia="Times New Roman" w:hAnsi="Arial TUR" w:cs="Miriam" w:hint="cs"/>
          <w:sz w:val="24"/>
          <w:szCs w:val="24"/>
          <w:rtl/>
        </w:rPr>
        <w:t>דורפלינגר</w:t>
      </w:r>
      <w:proofErr w:type="spellEnd"/>
      <w:r w:rsidRPr="001D7814">
        <w:rPr>
          <w:rFonts w:ascii="Arial TUR" w:eastAsia="Times New Roman" w:hAnsi="Arial TUR" w:cs="Miriam" w:hint="cs"/>
          <w:sz w:val="24"/>
          <w:szCs w:val="24"/>
          <w:rtl/>
        </w:rPr>
        <w:t xml:space="preserve"> נ' שר הפנים</w:t>
      </w:r>
      <w:r w:rsidRPr="001D7814">
        <w:rPr>
          <w:rFonts w:ascii="Arial TUR" w:eastAsia="Times New Roman" w:hAnsi="Arial TUR" w:cs="FrankRuehl" w:hint="cs"/>
          <w:spacing w:val="10"/>
          <w:sz w:val="28"/>
          <w:szCs w:val="28"/>
          <w:rtl/>
        </w:rPr>
        <w:t xml:space="preserve">, פ"ד לג(2) 97, 102 (1979), מפי השופט – </w:t>
      </w:r>
      <w:proofErr w:type="spellStart"/>
      <w:r w:rsidRPr="001D7814">
        <w:rPr>
          <w:rFonts w:ascii="Arial TUR" w:eastAsia="Times New Roman" w:hAnsi="Arial TUR" w:cs="FrankRuehl" w:hint="cs"/>
          <w:spacing w:val="10"/>
          <w:sz w:val="28"/>
          <w:szCs w:val="28"/>
          <w:rtl/>
        </w:rPr>
        <w:t>כתארו</w:t>
      </w:r>
      <w:proofErr w:type="spellEnd"/>
      <w:r w:rsidRPr="001D7814">
        <w:rPr>
          <w:rFonts w:ascii="Arial TUR" w:eastAsia="Times New Roman" w:hAnsi="Arial TUR" w:cs="FrankRuehl" w:hint="cs"/>
          <w:spacing w:val="10"/>
          <w:sz w:val="28"/>
          <w:szCs w:val="28"/>
          <w:rtl/>
        </w:rPr>
        <w:t xml:space="preserve"> אז – שמגר). רוצה לומר, </w:t>
      </w:r>
      <w:r w:rsidRPr="0017039B">
        <w:rPr>
          <w:rFonts w:ascii="Arial TUR" w:eastAsia="Times New Roman" w:hAnsi="Arial TUR" w:cs="FrankRuehl" w:hint="cs"/>
          <w:spacing w:val="10"/>
          <w:sz w:val="28"/>
          <w:szCs w:val="28"/>
          <w:highlight w:val="yellow"/>
          <w:rtl/>
        </w:rPr>
        <w:t xml:space="preserve">מרגע שהקימה המדינה </w:t>
      </w:r>
      <w:proofErr w:type="spellStart"/>
      <w:r w:rsidRPr="0017039B">
        <w:rPr>
          <w:rFonts w:ascii="Arial TUR" w:eastAsia="Times New Roman" w:hAnsi="Arial TUR" w:cs="FrankRuehl" w:hint="cs"/>
          <w:spacing w:val="10"/>
          <w:sz w:val="28"/>
          <w:szCs w:val="28"/>
          <w:highlight w:val="yellow"/>
          <w:rtl/>
        </w:rPr>
        <w:t>מקואות</w:t>
      </w:r>
      <w:proofErr w:type="spellEnd"/>
      <w:r w:rsidRPr="0017039B">
        <w:rPr>
          <w:rFonts w:ascii="Arial TUR" w:eastAsia="Times New Roman" w:hAnsi="Arial TUR" w:cs="FrankRuehl" w:hint="cs"/>
          <w:spacing w:val="10"/>
          <w:sz w:val="28"/>
          <w:szCs w:val="28"/>
          <w:highlight w:val="yellow"/>
          <w:rtl/>
        </w:rPr>
        <w:t xml:space="preserve"> ציבוריים והעמידה אותם לרשות הציבור – לרבות לצרכי גיור – אין היא יכולה לנהוג מדיניות של אֵיפָה וְאֵיפָה</w:t>
      </w:r>
      <w:r w:rsidRPr="001D7814">
        <w:rPr>
          <w:rFonts w:ascii="Arial TUR" w:eastAsia="Times New Roman" w:hAnsi="Arial TUR" w:cs="FrankRuehl" w:hint="cs"/>
          <w:spacing w:val="10"/>
          <w:sz w:val="28"/>
          <w:szCs w:val="28"/>
          <w:rtl/>
        </w:rPr>
        <w:t xml:space="preserve"> (</w:t>
      </w:r>
      <w:r w:rsidRPr="001D7814">
        <w:rPr>
          <w:rFonts w:ascii="Arial TUR" w:eastAsia="Times New Roman" w:hAnsi="Arial TUR" w:cs="Miriam" w:hint="cs"/>
          <w:sz w:val="24"/>
          <w:szCs w:val="24"/>
          <w:rtl/>
        </w:rPr>
        <w:t>דברים</w:t>
      </w:r>
      <w:r w:rsidRPr="001D7814">
        <w:rPr>
          <w:rFonts w:ascii="Arial TUR" w:eastAsia="Times New Roman" w:hAnsi="Arial TUR" w:cs="FrankRuehl" w:hint="cs"/>
          <w:spacing w:val="10"/>
          <w:sz w:val="28"/>
          <w:szCs w:val="28"/>
          <w:rtl/>
        </w:rPr>
        <w:t xml:space="preserve">, כ"ה, י"ד) בשימוש בהם; </w:t>
      </w:r>
      <w:r w:rsidRPr="0017039B">
        <w:rPr>
          <w:rFonts w:ascii="Arial TUR" w:eastAsia="Times New Roman" w:hAnsi="Arial TUR" w:cs="FrankRuehl" w:hint="cs"/>
          <w:spacing w:val="10"/>
          <w:sz w:val="28"/>
          <w:szCs w:val="28"/>
          <w:highlight w:val="yellow"/>
          <w:rtl/>
        </w:rPr>
        <w:t>ולעניין זה אין חשיבות לנפקות המשפטית שיוצרת, או אינה יוצרת, הטבילה עצמה,</w:t>
      </w:r>
      <w:r w:rsidRPr="001D7814">
        <w:rPr>
          <w:rFonts w:ascii="Arial TUR" w:eastAsia="Times New Roman" w:hAnsi="Arial TUR" w:cs="FrankRuehl" w:hint="cs"/>
          <w:spacing w:val="10"/>
          <w:sz w:val="28"/>
          <w:szCs w:val="28"/>
          <w:rtl/>
        </w:rPr>
        <w:t xml:space="preserve"> וגם לא להשקפה זו או אחרת, לגיטימית ככל שתהא, על הנפקות הדתית בנסיבות.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Arial TUR"/>
          <w:spacing w:val="10"/>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proofErr w:type="spellStart"/>
      <w:r w:rsidRPr="001D7814">
        <w:rPr>
          <w:rFonts w:ascii="Arial TUR" w:eastAsia="Times New Roman" w:hAnsi="Arial TUR" w:cs="FrankRuehl" w:hint="cs"/>
          <w:spacing w:val="10"/>
          <w:sz w:val="28"/>
          <w:szCs w:val="28"/>
          <w:rtl/>
        </w:rPr>
        <w:t>יז</w:t>
      </w:r>
      <w:proofErr w:type="spellEnd"/>
      <w:r w:rsidRPr="001D7814">
        <w:rPr>
          <w:rFonts w:ascii="Arial TUR" w:eastAsia="Times New Roman" w:hAnsi="Arial TUR" w:cs="FrankRuehl" w:hint="cs"/>
          <w:spacing w:val="10"/>
          <w:sz w:val="28"/>
          <w:szCs w:val="28"/>
          <w:rtl/>
        </w:rPr>
        <w:t>.</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Miriam" w:hint="cs"/>
          <w:sz w:val="24"/>
          <w:szCs w:val="24"/>
          <w:rtl/>
        </w:rPr>
        <w:t>שלישית</w:t>
      </w:r>
      <w:r w:rsidRPr="001D7814">
        <w:rPr>
          <w:rFonts w:ascii="Arial TUR" w:eastAsia="Times New Roman" w:hAnsi="Arial TUR" w:cs="FrankRuehl" w:hint="cs"/>
          <w:spacing w:val="10"/>
          <w:sz w:val="28"/>
          <w:szCs w:val="28"/>
          <w:rtl/>
        </w:rPr>
        <w:t xml:space="preserve">, </w:t>
      </w:r>
      <w:r w:rsidRPr="00242840">
        <w:rPr>
          <w:rFonts w:ascii="Arial TUR" w:eastAsia="Times New Roman" w:hAnsi="Arial TUR" w:cs="FrankRuehl" w:hint="cs"/>
          <w:spacing w:val="10"/>
          <w:sz w:val="28"/>
          <w:szCs w:val="28"/>
          <w:highlight w:val="yellow"/>
          <w:rtl/>
        </w:rPr>
        <w:t xml:space="preserve">קשה להלום את טענת המדינה, לפיה אין חובה על המועצה הדתית לשרת גופים פרטיים. אמנם, ישנן תשתיות ציבוריות (דוגמת בתי ספר) המשמשות בעיקר לצורך מילוי פונקציה ציבורית (דוגמת חינוך ציבורי); אך לא כך הדבר </w:t>
      </w:r>
      <w:proofErr w:type="spellStart"/>
      <w:r w:rsidRPr="00242840">
        <w:rPr>
          <w:rFonts w:ascii="Arial TUR" w:eastAsia="Times New Roman" w:hAnsi="Arial TUR" w:cs="FrankRuehl" w:hint="cs"/>
          <w:spacing w:val="10"/>
          <w:sz w:val="28"/>
          <w:szCs w:val="28"/>
          <w:highlight w:val="yellow"/>
          <w:rtl/>
        </w:rPr>
        <w:t>במקואות</w:t>
      </w:r>
      <w:proofErr w:type="spellEnd"/>
      <w:r w:rsidRPr="00242840">
        <w:rPr>
          <w:rFonts w:ascii="Arial TUR" w:eastAsia="Times New Roman" w:hAnsi="Arial TUR" w:cs="FrankRuehl" w:hint="cs"/>
          <w:spacing w:val="10"/>
          <w:sz w:val="28"/>
          <w:szCs w:val="28"/>
          <w:highlight w:val="yellow"/>
          <w:rtl/>
        </w:rPr>
        <w:t xml:space="preserve"> הפתוחים בפני הציבור הרחב ועומדים לשימושו, אף שככלל הם פתוחים לשם טבילת נידה לאשה או לטבילת טהרה, מדובר במבנים ציבוריים הפתוחים לציבור ואף – לעניין גיור – לקבוצות מטעם מערך הגיור הממלכתי, ובנסיבות אין המדינה יכולה לחסות תחת הטיעון הכללי שאין רשות ציבורית מחויבת להתקשר עם גופים פרטיים; אלא עליה לתת טעם מדוע לא תתאפשר גישה </w:t>
      </w:r>
      <w:proofErr w:type="spellStart"/>
      <w:r w:rsidRPr="00242840">
        <w:rPr>
          <w:rFonts w:ascii="Arial TUR" w:eastAsia="Times New Roman" w:hAnsi="Arial TUR" w:cs="FrankRuehl" w:hint="cs"/>
          <w:spacing w:val="10"/>
          <w:sz w:val="28"/>
          <w:szCs w:val="28"/>
          <w:highlight w:val="yellow"/>
          <w:rtl/>
        </w:rPr>
        <w:t>למקואות</w:t>
      </w:r>
      <w:proofErr w:type="spellEnd"/>
      <w:r w:rsidRPr="00242840">
        <w:rPr>
          <w:rFonts w:ascii="Arial TUR" w:eastAsia="Times New Roman" w:hAnsi="Arial TUR" w:cs="FrankRuehl" w:hint="cs"/>
          <w:spacing w:val="10"/>
          <w:sz w:val="28"/>
          <w:szCs w:val="28"/>
          <w:highlight w:val="yellow"/>
          <w:rtl/>
        </w:rPr>
        <w:t xml:space="preserve"> ציבוריים הממומנים מכספי ציבור לקבוצות מטעם גופים פרטיים מסוימים, כאשר לגופים פרטיים אורתודוכסיים המקיימים גיור אין קושי להשיג טבילה </w:t>
      </w:r>
      <w:proofErr w:type="spellStart"/>
      <w:r w:rsidRPr="00242840">
        <w:rPr>
          <w:rFonts w:ascii="Arial TUR" w:eastAsia="Times New Roman" w:hAnsi="Arial TUR" w:cs="FrankRuehl" w:hint="cs"/>
          <w:spacing w:val="10"/>
          <w:sz w:val="28"/>
          <w:szCs w:val="28"/>
          <w:highlight w:val="yellow"/>
          <w:rtl/>
        </w:rPr>
        <w:t>במקואות</w:t>
      </w:r>
      <w:proofErr w:type="spellEnd"/>
      <w:r w:rsidRPr="00242840">
        <w:rPr>
          <w:rFonts w:ascii="Arial TUR" w:eastAsia="Times New Roman" w:hAnsi="Arial TUR" w:cs="FrankRuehl" w:hint="cs"/>
          <w:spacing w:val="10"/>
          <w:sz w:val="28"/>
          <w:szCs w:val="28"/>
          <w:highlight w:val="yellow"/>
          <w:rtl/>
        </w:rPr>
        <w:t xml:space="preserve"> כאלה או אחרים, אף שיתכן שחלקם פרטיים. עוד נציין, כי העובדה שמערך הגיור הממלכתי אינו כולל מסלול גיור קונסרבטיבי או רפורמי, וכל עוד אין הכרעה שיפוטית בהקשרי הגיור בישראל, משליכה על יכולתה של המדינה לטעון שהשימוש </w:t>
      </w:r>
      <w:proofErr w:type="spellStart"/>
      <w:r w:rsidRPr="00242840">
        <w:rPr>
          <w:rFonts w:ascii="Arial TUR" w:eastAsia="Times New Roman" w:hAnsi="Arial TUR" w:cs="FrankRuehl" w:hint="cs"/>
          <w:spacing w:val="10"/>
          <w:sz w:val="28"/>
          <w:szCs w:val="28"/>
          <w:highlight w:val="yellow"/>
          <w:rtl/>
        </w:rPr>
        <w:t>במקואות</w:t>
      </w:r>
      <w:proofErr w:type="spellEnd"/>
      <w:r w:rsidRPr="00242840">
        <w:rPr>
          <w:rFonts w:ascii="Arial TUR" w:eastAsia="Times New Roman" w:hAnsi="Arial TUR" w:cs="FrankRuehl" w:hint="cs"/>
          <w:spacing w:val="10"/>
          <w:sz w:val="28"/>
          <w:szCs w:val="28"/>
          <w:highlight w:val="yellow"/>
          <w:rtl/>
        </w:rPr>
        <w:t xml:space="preserve"> שמור רק </w:t>
      </w:r>
      <w:proofErr w:type="spellStart"/>
      <w:r w:rsidRPr="00242840">
        <w:rPr>
          <w:rFonts w:ascii="Arial TUR" w:eastAsia="Times New Roman" w:hAnsi="Arial TUR" w:cs="FrankRuehl" w:hint="cs"/>
          <w:spacing w:val="10"/>
          <w:sz w:val="28"/>
          <w:szCs w:val="28"/>
          <w:highlight w:val="yellow"/>
          <w:rtl/>
        </w:rPr>
        <w:t>למתגיירי</w:t>
      </w:r>
      <w:proofErr w:type="spellEnd"/>
      <w:r w:rsidRPr="00242840">
        <w:rPr>
          <w:rFonts w:ascii="Arial TUR" w:eastAsia="Times New Roman" w:hAnsi="Arial TUR" w:cs="FrankRuehl" w:hint="cs"/>
          <w:spacing w:val="10"/>
          <w:sz w:val="28"/>
          <w:szCs w:val="28"/>
          <w:highlight w:val="yellow"/>
          <w:rtl/>
        </w:rPr>
        <w:t xml:space="preserve"> מערך הגיור הממלכתי; זאת מכוח עקרון תום הלב ועקרון </w:t>
      </w:r>
      <w:proofErr w:type="spellStart"/>
      <w:r w:rsidRPr="00242840">
        <w:rPr>
          <w:rFonts w:ascii="Arial TUR" w:eastAsia="Times New Roman" w:hAnsi="Arial TUR" w:cs="FrankRuehl" w:hint="cs"/>
          <w:spacing w:val="10"/>
          <w:sz w:val="28"/>
          <w:szCs w:val="28"/>
          <w:highlight w:val="yellow"/>
          <w:rtl/>
        </w:rPr>
        <w:t>השויון</w:t>
      </w:r>
      <w:proofErr w:type="spellEnd"/>
      <w:r w:rsidRPr="00242840">
        <w:rPr>
          <w:rFonts w:ascii="Arial TUR" w:eastAsia="Times New Roman" w:hAnsi="Arial TUR" w:cs="FrankRuehl" w:hint="cs"/>
          <w:spacing w:val="10"/>
          <w:sz w:val="28"/>
          <w:szCs w:val="28"/>
          <w:highlight w:val="yellow"/>
          <w:rtl/>
        </w:rPr>
        <w:t xml:space="preserve"> המנחים את פעולותיה של כל רשות </w:t>
      </w:r>
      <w:proofErr w:type="spellStart"/>
      <w:r w:rsidRPr="00242840">
        <w:rPr>
          <w:rFonts w:ascii="Arial TUR" w:eastAsia="Times New Roman" w:hAnsi="Arial TUR" w:cs="FrankRuehl" w:hint="cs"/>
          <w:spacing w:val="10"/>
          <w:sz w:val="28"/>
          <w:szCs w:val="28"/>
          <w:highlight w:val="yellow"/>
          <w:rtl/>
        </w:rPr>
        <w:t>מינהלית</w:t>
      </w:r>
      <w:proofErr w:type="spellEnd"/>
      <w:r w:rsidRPr="00242840">
        <w:rPr>
          <w:rFonts w:ascii="Arial TUR" w:eastAsia="Times New Roman" w:hAnsi="Arial TUR" w:cs="FrankRuehl" w:hint="cs"/>
          <w:spacing w:val="10"/>
          <w:sz w:val="28"/>
          <w:szCs w:val="28"/>
          <w:highlight w:val="yellow"/>
          <w:rtl/>
        </w:rPr>
        <w:t>.</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proofErr w:type="spellStart"/>
      <w:r w:rsidRPr="001D7814">
        <w:rPr>
          <w:rFonts w:ascii="Arial TUR" w:eastAsia="Times New Roman" w:hAnsi="Arial TUR" w:cs="FrankRuehl" w:hint="cs"/>
          <w:spacing w:val="10"/>
          <w:sz w:val="28"/>
          <w:szCs w:val="28"/>
          <w:rtl/>
        </w:rPr>
        <w:t>יח</w:t>
      </w:r>
      <w:proofErr w:type="spellEnd"/>
      <w:r w:rsidRPr="001D7814">
        <w:rPr>
          <w:rFonts w:ascii="Arial TUR" w:eastAsia="Times New Roman" w:hAnsi="Arial TUR" w:cs="FrankRuehl" w:hint="cs"/>
          <w:spacing w:val="10"/>
          <w:sz w:val="28"/>
          <w:szCs w:val="28"/>
          <w:rtl/>
        </w:rPr>
        <w:t>.</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עתה לעניין הפטור הכלול בחוק איסור הפליה במוצרים, בשירותים ובכניסה למקומות בידור ולמקומות ציבוריים, תשס"א-2000. כאמור, סעיף 3(ד)(1) קובע, כי "אין רואים הפליה לפי סעיף זה – כאשר הדבר מתחייב מאופיו או ממהותו של המוצר, השירות הציבורי או המקום הציבורי". לשיטת המשיבים, הנידון </w:t>
      </w:r>
      <w:proofErr w:type="spellStart"/>
      <w:r w:rsidRPr="001D7814">
        <w:rPr>
          <w:rFonts w:ascii="Arial TUR" w:eastAsia="Times New Roman" w:hAnsi="Arial TUR" w:cs="FrankRuehl" w:hint="cs"/>
          <w:spacing w:val="10"/>
          <w:sz w:val="28"/>
          <w:szCs w:val="28"/>
          <w:rtl/>
        </w:rPr>
        <w:t>דידן</w:t>
      </w:r>
      <w:proofErr w:type="spellEnd"/>
      <w:r w:rsidRPr="001D7814">
        <w:rPr>
          <w:rFonts w:ascii="Arial TUR" w:eastAsia="Times New Roman" w:hAnsi="Arial TUR" w:cs="FrankRuehl" w:hint="cs"/>
          <w:spacing w:val="10"/>
          <w:sz w:val="28"/>
          <w:szCs w:val="28"/>
          <w:rtl/>
        </w:rPr>
        <w:t xml:space="preserve"> נכנס בגדרי סעיף זה, שכן </w:t>
      </w:r>
      <w:proofErr w:type="spellStart"/>
      <w:r w:rsidRPr="001D7814">
        <w:rPr>
          <w:rFonts w:ascii="Arial TUR" w:eastAsia="Times New Roman" w:hAnsi="Arial TUR" w:cs="FrankRuehl" w:hint="cs"/>
          <w:spacing w:val="10"/>
          <w:sz w:val="28"/>
          <w:szCs w:val="28"/>
          <w:rtl/>
        </w:rPr>
        <w:t>המקואות</w:t>
      </w:r>
      <w:proofErr w:type="spellEnd"/>
      <w:r w:rsidRPr="001D7814">
        <w:rPr>
          <w:rFonts w:ascii="Arial TUR" w:eastAsia="Times New Roman" w:hAnsi="Arial TUR" w:cs="FrankRuehl" w:hint="cs"/>
          <w:spacing w:val="10"/>
          <w:sz w:val="28"/>
          <w:szCs w:val="28"/>
          <w:rtl/>
        </w:rPr>
        <w:t xml:space="preserve"> מיועדים באופיים ומהותם לטבילת יהודים, ואילו הגרים, לעת עתה, אינם יהודים. אין להלום טענה זו, שעדיף היה אילולא נטענה. דעת לנבון נקל, כי כל עוד המשיבים מאפשרים את טבילתם של מתגיירים מטעם מערך הגיור הממלכתי – אשר אין חולק שעדיין אינם יהודים בעת טבילתם – וכאמור, ככל הנראה נמצאים פתרונות זמינים לגיורים פרטיים אורתודוכסיים – אין בידם למנוע את טבילתם של מתגיירים מטעם המערערות בטענה </w:t>
      </w:r>
      <w:proofErr w:type="spellStart"/>
      <w:r w:rsidRPr="001D7814">
        <w:rPr>
          <w:rFonts w:ascii="Arial TUR" w:eastAsia="Times New Roman" w:hAnsi="Arial TUR" w:cs="FrankRuehl" w:hint="cs"/>
          <w:spacing w:val="10"/>
          <w:sz w:val="28"/>
          <w:szCs w:val="28"/>
          <w:rtl/>
        </w:rPr>
        <w:t>שהמקוה</w:t>
      </w:r>
      <w:proofErr w:type="spellEnd"/>
      <w:r w:rsidRPr="001D7814">
        <w:rPr>
          <w:rFonts w:ascii="Arial TUR" w:eastAsia="Times New Roman" w:hAnsi="Arial TUR" w:cs="FrankRuehl" w:hint="cs"/>
          <w:spacing w:val="10"/>
          <w:sz w:val="28"/>
          <w:szCs w:val="28"/>
          <w:rtl/>
        </w:rPr>
        <w:t xml:space="preserve"> מיועד ליהודים בלבד. צריך להרחיק לכת כדי לטעון כי מניעת כניסתם של </w:t>
      </w:r>
      <w:proofErr w:type="spellStart"/>
      <w:r w:rsidRPr="001D7814">
        <w:rPr>
          <w:rFonts w:ascii="Arial TUR" w:eastAsia="Times New Roman" w:hAnsi="Arial TUR" w:cs="FrankRuehl" w:hint="cs"/>
          <w:spacing w:val="10"/>
          <w:sz w:val="28"/>
          <w:szCs w:val="28"/>
          <w:rtl/>
        </w:rPr>
        <w:t>מתגיירי</w:t>
      </w:r>
      <w:proofErr w:type="spellEnd"/>
      <w:r w:rsidRPr="001D7814">
        <w:rPr>
          <w:rFonts w:ascii="Arial TUR" w:eastAsia="Times New Roman" w:hAnsi="Arial TUR" w:cs="FrankRuehl" w:hint="cs"/>
          <w:spacing w:val="10"/>
          <w:sz w:val="28"/>
          <w:szCs w:val="28"/>
          <w:rtl/>
        </w:rPr>
        <w:t xml:space="preserve"> המערערות מתחייבת מאופים של </w:t>
      </w:r>
      <w:proofErr w:type="spellStart"/>
      <w:r w:rsidRPr="001D7814">
        <w:rPr>
          <w:rFonts w:ascii="Arial TUR" w:eastAsia="Times New Roman" w:hAnsi="Arial TUR" w:cs="FrankRuehl" w:hint="cs"/>
          <w:spacing w:val="10"/>
          <w:sz w:val="28"/>
          <w:szCs w:val="28"/>
          <w:rtl/>
        </w:rPr>
        <w:t>המקואות</w:t>
      </w:r>
      <w:proofErr w:type="spellEnd"/>
      <w:r w:rsidRPr="001D7814">
        <w:rPr>
          <w:rFonts w:ascii="Arial TUR" w:eastAsia="Times New Roman" w:hAnsi="Arial TUR" w:cs="FrankRuehl" w:hint="cs"/>
          <w:spacing w:val="10"/>
          <w:sz w:val="28"/>
          <w:szCs w:val="28"/>
          <w:rtl/>
        </w:rPr>
        <w:t>, שהרי הבאים להתגייר לשם כך הם באים, כדי להיות יהודים.</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proofErr w:type="spellStart"/>
      <w:r w:rsidRPr="001D7814">
        <w:rPr>
          <w:rFonts w:ascii="Arial TUR" w:eastAsia="Times New Roman" w:hAnsi="Arial TUR" w:cs="FrankRuehl" w:hint="cs"/>
          <w:spacing w:val="10"/>
          <w:sz w:val="28"/>
          <w:szCs w:val="28"/>
          <w:rtl/>
        </w:rPr>
        <w:t>יט</w:t>
      </w:r>
      <w:proofErr w:type="spellEnd"/>
      <w:r w:rsidRPr="001D7814">
        <w:rPr>
          <w:rFonts w:ascii="Arial TUR" w:eastAsia="Times New Roman" w:hAnsi="Arial TUR" w:cs="FrankRuehl" w:hint="cs"/>
          <w:spacing w:val="10"/>
          <w:sz w:val="28"/>
          <w:szCs w:val="28"/>
          <w:rtl/>
        </w:rPr>
        <w:t>.</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אין להלום את טענת המשיבים, לפיה מדיניותם מוצדקת נוכח סעיף 6א לחוק שירותי הדת. סעיף זה קובע, כי "המועצה הדתית וחבריה יפעלו לפי פסיקת הרבנות המקומית והרבנות הראשית לישראל, בכל ענין שבתחום תפקידיה וסמכויותיה של המועצה הדתית". כאמור, סעיף זה אינו יכול "להכשיר" את הדרת </w:t>
      </w:r>
      <w:proofErr w:type="spellStart"/>
      <w:r w:rsidRPr="001D7814">
        <w:rPr>
          <w:rFonts w:ascii="Arial TUR" w:eastAsia="Times New Roman" w:hAnsi="Arial TUR" w:cs="FrankRuehl" w:hint="cs"/>
          <w:spacing w:val="10"/>
          <w:sz w:val="28"/>
          <w:szCs w:val="28"/>
          <w:rtl/>
        </w:rPr>
        <w:t>מתגיירי</w:t>
      </w:r>
      <w:proofErr w:type="spellEnd"/>
      <w:r w:rsidRPr="001D7814">
        <w:rPr>
          <w:rFonts w:ascii="Arial TUR" w:eastAsia="Times New Roman" w:hAnsi="Arial TUR" w:cs="FrankRuehl" w:hint="cs"/>
          <w:spacing w:val="10"/>
          <w:sz w:val="28"/>
          <w:szCs w:val="28"/>
          <w:rtl/>
        </w:rPr>
        <w:t xml:space="preserve"> המערערות </w:t>
      </w:r>
      <w:proofErr w:type="spellStart"/>
      <w:r w:rsidRPr="001D7814">
        <w:rPr>
          <w:rFonts w:ascii="Arial TUR" w:eastAsia="Times New Roman" w:hAnsi="Arial TUR" w:cs="FrankRuehl" w:hint="cs"/>
          <w:spacing w:val="10"/>
          <w:sz w:val="28"/>
          <w:szCs w:val="28"/>
          <w:rtl/>
        </w:rPr>
        <w:t>ממקואות</w:t>
      </w:r>
      <w:proofErr w:type="spellEnd"/>
      <w:r w:rsidRPr="001D7814">
        <w:rPr>
          <w:rFonts w:ascii="Arial TUR" w:eastAsia="Times New Roman" w:hAnsi="Arial TUR" w:cs="FrankRuehl" w:hint="cs"/>
          <w:spacing w:val="10"/>
          <w:sz w:val="28"/>
          <w:szCs w:val="28"/>
          <w:rtl/>
        </w:rPr>
        <w:t xml:space="preserve"> ציבוריים; זאת כיון שהרבנות אינה מוסמכת לקבוע מדיניות של הפליה. בית המשפט רוחש כבוד </w:t>
      </w:r>
      <w:r w:rsidRPr="0017039B">
        <w:rPr>
          <w:rFonts w:ascii="Arial TUR" w:eastAsia="Times New Roman" w:hAnsi="Arial TUR" w:cs="FrankRuehl" w:hint="cs"/>
          <w:spacing w:val="10"/>
          <w:sz w:val="28"/>
          <w:szCs w:val="28"/>
          <w:highlight w:val="yellow"/>
          <w:rtl/>
        </w:rPr>
        <w:t xml:space="preserve">לרבנות הראשית, אך ברי כי – כמו כל רשות </w:t>
      </w:r>
      <w:proofErr w:type="spellStart"/>
      <w:r w:rsidRPr="0017039B">
        <w:rPr>
          <w:rFonts w:ascii="Arial TUR" w:eastAsia="Times New Roman" w:hAnsi="Arial TUR" w:cs="FrankRuehl" w:hint="cs"/>
          <w:spacing w:val="10"/>
          <w:sz w:val="28"/>
          <w:szCs w:val="28"/>
          <w:highlight w:val="yellow"/>
          <w:rtl/>
        </w:rPr>
        <w:t>מינהלית</w:t>
      </w:r>
      <w:proofErr w:type="spellEnd"/>
      <w:r w:rsidRPr="0017039B">
        <w:rPr>
          <w:rFonts w:ascii="Arial TUR" w:eastAsia="Times New Roman" w:hAnsi="Arial TUR" w:cs="FrankRuehl" w:hint="cs"/>
          <w:spacing w:val="10"/>
          <w:sz w:val="28"/>
          <w:szCs w:val="28"/>
          <w:highlight w:val="yellow"/>
          <w:rtl/>
        </w:rPr>
        <w:t xml:space="preserve"> – כפופה היא להוראות המשפט </w:t>
      </w:r>
      <w:proofErr w:type="spellStart"/>
      <w:r w:rsidRPr="0017039B">
        <w:rPr>
          <w:rFonts w:ascii="Arial TUR" w:eastAsia="Times New Roman" w:hAnsi="Arial TUR" w:cs="FrankRuehl" w:hint="cs"/>
          <w:spacing w:val="10"/>
          <w:sz w:val="28"/>
          <w:szCs w:val="28"/>
          <w:highlight w:val="yellow"/>
          <w:rtl/>
        </w:rPr>
        <w:t>המינהלי</w:t>
      </w:r>
      <w:proofErr w:type="spellEnd"/>
      <w:r w:rsidRPr="0017039B">
        <w:rPr>
          <w:rFonts w:ascii="Arial TUR" w:eastAsia="Times New Roman" w:hAnsi="Arial TUR" w:cs="FrankRuehl" w:hint="cs"/>
          <w:spacing w:val="10"/>
          <w:sz w:val="28"/>
          <w:szCs w:val="28"/>
          <w:highlight w:val="yellow"/>
          <w:rtl/>
        </w:rPr>
        <w:t>, האוסר הפליה</w:t>
      </w:r>
      <w:r w:rsidRPr="001D7814">
        <w:rPr>
          <w:rFonts w:ascii="Arial TUR" w:eastAsia="Times New Roman" w:hAnsi="Arial TUR" w:cs="FrankRuehl" w:hint="cs"/>
          <w:spacing w:val="10"/>
          <w:sz w:val="28"/>
          <w:szCs w:val="28"/>
          <w:rtl/>
        </w:rPr>
        <w:t xml:space="preserve"> (בג"ץ 77/02 </w:t>
      </w:r>
      <w:proofErr w:type="spellStart"/>
      <w:r w:rsidRPr="001D7814">
        <w:rPr>
          <w:rFonts w:ascii="Arial TUR" w:eastAsia="Times New Roman" w:hAnsi="Arial TUR" w:cs="Miriam" w:hint="cs"/>
          <w:sz w:val="24"/>
          <w:szCs w:val="24"/>
          <w:rtl/>
        </w:rPr>
        <w:t>אוסובלנסקי</w:t>
      </w:r>
      <w:proofErr w:type="spellEnd"/>
      <w:r w:rsidRPr="001D7814">
        <w:rPr>
          <w:rFonts w:ascii="Arial TUR" w:eastAsia="Times New Roman" w:hAnsi="Arial TUR" w:cs="Miriam" w:hint="cs"/>
          <w:sz w:val="24"/>
          <w:szCs w:val="24"/>
          <w:rtl/>
        </w:rPr>
        <w:t xml:space="preserve"> בע"מ נ' מועצת הרבנות הראשית</w:t>
      </w:r>
      <w:r w:rsidRPr="001D7814">
        <w:rPr>
          <w:rFonts w:ascii="Arial TUR" w:eastAsia="Times New Roman" w:hAnsi="Arial TUR" w:cs="FrankRuehl" w:hint="cs"/>
          <w:spacing w:val="10"/>
          <w:sz w:val="28"/>
          <w:szCs w:val="28"/>
          <w:rtl/>
        </w:rPr>
        <w:t xml:space="preserve">, פ"ד נו(6) 249, 273, מפי השופט – </w:t>
      </w:r>
      <w:proofErr w:type="spellStart"/>
      <w:r w:rsidRPr="001D7814">
        <w:rPr>
          <w:rFonts w:ascii="Arial TUR" w:eastAsia="Times New Roman" w:hAnsi="Arial TUR" w:cs="FrankRuehl" w:hint="cs"/>
          <w:spacing w:val="10"/>
          <w:sz w:val="28"/>
          <w:szCs w:val="28"/>
          <w:rtl/>
        </w:rPr>
        <w:t>כתארו</w:t>
      </w:r>
      <w:proofErr w:type="spellEnd"/>
      <w:r w:rsidRPr="001D7814">
        <w:rPr>
          <w:rFonts w:ascii="Arial TUR" w:eastAsia="Times New Roman" w:hAnsi="Arial TUR" w:cs="FrankRuehl" w:hint="cs"/>
          <w:spacing w:val="10"/>
          <w:sz w:val="28"/>
          <w:szCs w:val="28"/>
          <w:rtl/>
        </w:rPr>
        <w:t xml:space="preserve"> אז – חשין (2002); בג"ץ 7120/07 </w:t>
      </w:r>
      <w:r w:rsidRPr="001D7814">
        <w:rPr>
          <w:rFonts w:ascii="Arial TUR" w:eastAsia="Times New Roman" w:hAnsi="Arial TUR" w:cs="Miriam" w:hint="cs"/>
          <w:sz w:val="24"/>
          <w:szCs w:val="24"/>
          <w:rtl/>
        </w:rPr>
        <w:t>ינוב גידולים בע"מ נ' מועצת הרבנות הראשית</w:t>
      </w:r>
      <w:r w:rsidRPr="001D7814">
        <w:rPr>
          <w:rFonts w:ascii="Arial TUR" w:eastAsia="Times New Roman" w:hAnsi="Arial TUR" w:cs="FrankRuehl" w:hint="cs"/>
          <w:spacing w:val="10"/>
          <w:sz w:val="28"/>
          <w:szCs w:val="28"/>
          <w:rtl/>
        </w:rPr>
        <w:t xml:space="preserve">, פסקה כ"ה (2007)). </w:t>
      </w:r>
      <w:r w:rsidRPr="0017039B">
        <w:rPr>
          <w:rFonts w:ascii="Arial TUR" w:eastAsia="Times New Roman" w:hAnsi="Arial TUR" w:cs="FrankRuehl" w:hint="cs"/>
          <w:spacing w:val="10"/>
          <w:sz w:val="28"/>
          <w:szCs w:val="28"/>
          <w:highlight w:val="yellow"/>
          <w:rtl/>
        </w:rPr>
        <w:t xml:space="preserve">הטענה לפיה רשות </w:t>
      </w:r>
      <w:proofErr w:type="spellStart"/>
      <w:r w:rsidRPr="0017039B">
        <w:rPr>
          <w:rFonts w:ascii="Arial TUR" w:eastAsia="Times New Roman" w:hAnsi="Arial TUR" w:cs="FrankRuehl" w:hint="cs"/>
          <w:spacing w:val="10"/>
          <w:sz w:val="28"/>
          <w:szCs w:val="28"/>
          <w:highlight w:val="yellow"/>
          <w:rtl/>
        </w:rPr>
        <w:t>מינהלית</w:t>
      </w:r>
      <w:proofErr w:type="spellEnd"/>
      <w:r w:rsidRPr="0017039B">
        <w:rPr>
          <w:rFonts w:ascii="Arial TUR" w:eastAsia="Times New Roman" w:hAnsi="Arial TUR" w:cs="FrankRuehl" w:hint="cs"/>
          <w:spacing w:val="10"/>
          <w:sz w:val="28"/>
          <w:szCs w:val="28"/>
          <w:highlight w:val="yellow"/>
          <w:rtl/>
        </w:rPr>
        <w:t xml:space="preserve"> אחת מוסמכת להורות לרשות </w:t>
      </w:r>
      <w:proofErr w:type="spellStart"/>
      <w:r w:rsidRPr="0017039B">
        <w:rPr>
          <w:rFonts w:ascii="Arial TUR" w:eastAsia="Times New Roman" w:hAnsi="Arial TUR" w:cs="FrankRuehl" w:hint="cs"/>
          <w:spacing w:val="10"/>
          <w:sz w:val="28"/>
          <w:szCs w:val="28"/>
          <w:highlight w:val="yellow"/>
          <w:rtl/>
        </w:rPr>
        <w:t>מינהלית</w:t>
      </w:r>
      <w:proofErr w:type="spellEnd"/>
      <w:r w:rsidRPr="0017039B">
        <w:rPr>
          <w:rFonts w:ascii="Arial TUR" w:eastAsia="Times New Roman" w:hAnsi="Arial TUR" w:cs="FrankRuehl" w:hint="cs"/>
          <w:spacing w:val="10"/>
          <w:sz w:val="28"/>
          <w:szCs w:val="28"/>
          <w:highlight w:val="yellow"/>
          <w:rtl/>
        </w:rPr>
        <w:t xml:space="preserve"> שניה לנקוט במדיניות מפלה, אינה עולה בקנה אחד עם עקרונות היסוד של המשפט הציבורי</w:t>
      </w:r>
      <w:bookmarkStart w:id="5" w:name="_GoBack"/>
      <w:bookmarkEnd w:id="5"/>
      <w:r w:rsidRPr="001D7814">
        <w:rPr>
          <w:rFonts w:ascii="Arial TUR" w:eastAsia="Times New Roman" w:hAnsi="Arial TUR" w:cs="FrankRuehl" w:hint="cs"/>
          <w:spacing w:val="10"/>
          <w:sz w:val="28"/>
          <w:szCs w:val="28"/>
          <w:rtl/>
        </w:rPr>
        <w:t xml:space="preserve">. לשם </w:t>
      </w:r>
      <w:proofErr w:type="spellStart"/>
      <w:r w:rsidRPr="001D7814">
        <w:rPr>
          <w:rFonts w:ascii="Arial TUR" w:eastAsia="Times New Roman" w:hAnsi="Arial TUR" w:cs="FrankRuehl" w:hint="cs"/>
          <w:spacing w:val="10"/>
          <w:sz w:val="28"/>
          <w:szCs w:val="28"/>
          <w:rtl/>
        </w:rPr>
        <w:t>נקיון</w:t>
      </w:r>
      <w:proofErr w:type="spellEnd"/>
      <w:r w:rsidRPr="001D7814">
        <w:rPr>
          <w:rFonts w:ascii="Arial TUR" w:eastAsia="Times New Roman" w:hAnsi="Arial TUR" w:cs="FrankRuehl" w:hint="cs"/>
          <w:spacing w:val="10"/>
          <w:sz w:val="28"/>
          <w:szCs w:val="28"/>
          <w:rtl/>
        </w:rPr>
        <w:t xml:space="preserve"> הדעת נציין כי לא הוצגה בפנינו הנחיה של הרבנות בנושא זה, </w:t>
      </w:r>
      <w:proofErr w:type="spellStart"/>
      <w:r w:rsidRPr="001D7814">
        <w:rPr>
          <w:rFonts w:ascii="Arial TUR" w:eastAsia="Times New Roman" w:hAnsi="Arial TUR" w:cs="FrankRuehl" w:hint="cs"/>
          <w:spacing w:val="10"/>
          <w:sz w:val="28"/>
          <w:szCs w:val="28"/>
          <w:rtl/>
        </w:rPr>
        <w:t>וכלשעצמנו</w:t>
      </w:r>
      <w:proofErr w:type="spellEnd"/>
      <w:r w:rsidRPr="001D7814">
        <w:rPr>
          <w:rFonts w:ascii="Arial TUR" w:eastAsia="Times New Roman" w:hAnsi="Arial TUR" w:cs="FrankRuehl" w:hint="cs"/>
          <w:spacing w:val="10"/>
          <w:sz w:val="28"/>
          <w:szCs w:val="28"/>
          <w:rtl/>
        </w:rPr>
        <w:t xml:space="preserve"> אין את נפשנו להפוך תיק זה להכרעה בשאלות חשובות שאינן לפנינו.</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Arial TUR"/>
          <w:spacing w:val="10"/>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כ.</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האמור מתחייב אף מחופש הדת וחופש הפולחן המסורים לכל במדינת ישראל, בכפוף לפסקת שמירת הדינים בחוק יסוד: כבוד האדם וחירותו (סעיף 10). על חופש הדת נאמר, כי "חופש זה כולל בחובו, בין השאר, את החופש לקיים את מצוות הדת ודרישותיה" (בג"ץ 3267/97 </w:t>
      </w:r>
      <w:r w:rsidRPr="001D7814">
        <w:rPr>
          <w:rFonts w:ascii="Arial TUR" w:eastAsia="Times New Roman" w:hAnsi="Arial TUR" w:cs="Miriam" w:hint="cs"/>
          <w:sz w:val="24"/>
          <w:szCs w:val="24"/>
          <w:rtl/>
        </w:rPr>
        <w:t>רובינשטיין נ' שר הביטחון</w:t>
      </w:r>
      <w:r w:rsidRPr="001D7814">
        <w:rPr>
          <w:rFonts w:ascii="Arial TUR" w:eastAsia="Times New Roman" w:hAnsi="Arial TUR" w:cs="FrankRuehl" w:hint="cs"/>
          <w:spacing w:val="10"/>
          <w:sz w:val="28"/>
          <w:szCs w:val="28"/>
          <w:rtl/>
        </w:rPr>
        <w:t xml:space="preserve">, פ"ד נב(5) 481, 528, פסקה 36 לפסק-דינו של הנשיא ברק (1998); ראו גם חוות דעתי בג"ץ 6298/07 </w:t>
      </w:r>
      <w:proofErr w:type="spellStart"/>
      <w:r w:rsidRPr="001D7814">
        <w:rPr>
          <w:rFonts w:ascii="Arial TUR" w:eastAsia="Times New Roman" w:hAnsi="Arial TUR" w:cs="Miriam" w:hint="cs"/>
          <w:sz w:val="24"/>
          <w:szCs w:val="24"/>
          <w:rtl/>
        </w:rPr>
        <w:t>רסלר</w:t>
      </w:r>
      <w:proofErr w:type="spellEnd"/>
      <w:r w:rsidRPr="001D7814">
        <w:rPr>
          <w:rFonts w:ascii="Arial TUR" w:eastAsia="Times New Roman" w:hAnsi="Arial TUR" w:cs="Miriam" w:hint="cs"/>
          <w:sz w:val="24"/>
          <w:szCs w:val="24"/>
          <w:rtl/>
        </w:rPr>
        <w:t xml:space="preserve"> נ' כנסת ישראל</w:t>
      </w:r>
      <w:r w:rsidRPr="001D7814">
        <w:rPr>
          <w:rFonts w:ascii="Arial TUR" w:eastAsia="Times New Roman" w:hAnsi="Arial TUR" w:cs="FrankRuehl" w:hint="cs"/>
          <w:spacing w:val="10"/>
          <w:sz w:val="28"/>
          <w:szCs w:val="28"/>
          <w:rtl/>
        </w:rPr>
        <w:t xml:space="preserve">, פסקה ט' (2012)). ודוק, עקרון </w:t>
      </w:r>
      <w:proofErr w:type="spellStart"/>
      <w:r w:rsidRPr="001D7814">
        <w:rPr>
          <w:rFonts w:ascii="Arial TUR" w:eastAsia="Times New Roman" w:hAnsi="Arial TUR" w:cs="FrankRuehl" w:hint="cs"/>
          <w:spacing w:val="10"/>
          <w:sz w:val="28"/>
          <w:szCs w:val="28"/>
          <w:rtl/>
        </w:rPr>
        <w:t>השויון</w:t>
      </w:r>
      <w:proofErr w:type="spellEnd"/>
      <w:r w:rsidRPr="001D7814">
        <w:rPr>
          <w:rFonts w:ascii="Arial TUR" w:eastAsia="Times New Roman" w:hAnsi="Arial TUR" w:cs="FrankRuehl" w:hint="cs"/>
          <w:spacing w:val="10"/>
          <w:sz w:val="28"/>
          <w:szCs w:val="28"/>
          <w:rtl/>
        </w:rPr>
        <w:t xml:space="preserve"> מהוה מרכיב הכרחי בקיומו של חופש הדת. כך נקבע בבג"ץ 650/88 </w:t>
      </w:r>
      <w:r w:rsidRPr="001D7814">
        <w:rPr>
          <w:rFonts w:ascii="Arial TUR" w:eastAsia="Times New Roman" w:hAnsi="Arial TUR" w:cs="Miriam" w:hint="cs"/>
          <w:sz w:val="24"/>
          <w:szCs w:val="24"/>
          <w:rtl/>
        </w:rPr>
        <w:t>התנועה ליהדות מתקדמת נ' השר לענייני דתות</w:t>
      </w:r>
      <w:r w:rsidRPr="001D7814">
        <w:rPr>
          <w:rFonts w:ascii="Arial TUR" w:eastAsia="Times New Roman" w:hAnsi="Arial TUR" w:cs="FrankRuehl" w:hint="cs"/>
          <w:spacing w:val="10"/>
          <w:sz w:val="28"/>
          <w:szCs w:val="28"/>
          <w:rtl/>
        </w:rPr>
        <w:t xml:space="preserve">, פ"ד </w:t>
      </w:r>
      <w:proofErr w:type="spellStart"/>
      <w:r w:rsidRPr="001D7814">
        <w:rPr>
          <w:rFonts w:ascii="Arial TUR" w:eastAsia="Times New Roman" w:hAnsi="Arial TUR" w:cs="FrankRuehl" w:hint="cs"/>
          <w:spacing w:val="10"/>
          <w:sz w:val="28"/>
          <w:szCs w:val="28"/>
          <w:rtl/>
        </w:rPr>
        <w:t>מב</w:t>
      </w:r>
      <w:proofErr w:type="spellEnd"/>
      <w:r w:rsidRPr="001D7814">
        <w:rPr>
          <w:rFonts w:ascii="Arial TUR" w:eastAsia="Times New Roman" w:hAnsi="Arial TUR" w:cs="FrankRuehl" w:hint="cs"/>
          <w:spacing w:val="10"/>
          <w:sz w:val="28"/>
          <w:szCs w:val="28"/>
          <w:rtl/>
        </w:rPr>
        <w:t>(3) 377, 381 (1988), מפי הנשיא שמגר:</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 </w:t>
      </w:r>
    </w:p>
    <w:p w:rsidR="001D7814" w:rsidRPr="001D7814" w:rsidRDefault="001D7814" w:rsidP="001D7814">
      <w:pPr>
        <w:overflowPunct w:val="0"/>
        <w:autoSpaceDE w:val="0"/>
        <w:autoSpaceDN w:val="0"/>
        <w:spacing w:after="0" w:line="240" w:lineRule="auto"/>
        <w:ind w:left="1642" w:right="1282"/>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 xml:space="preserve">"חופש הדת והפולחן הוא מחירויות היסוד המוכרות לפי שיטתנו המשפטית ומהוות חלק ממנה. ביטוייה של החרות האמורה הם, כמובן, בעיקרם, בחופש ההבעה והמעשה הדתיים, אולם בכך לא סגי. בין היתר, נובע מקיומה של החירות האמורה, שינהגו במאמינים במידה של </w:t>
      </w:r>
      <w:proofErr w:type="spellStart"/>
      <w:r w:rsidRPr="001D7814">
        <w:rPr>
          <w:rFonts w:ascii="Arial TUR" w:eastAsia="Times New Roman" w:hAnsi="Arial TUR" w:cs="FrankRuehl" w:hint="cs"/>
          <w:spacing w:val="10"/>
          <w:sz w:val="28"/>
          <w:szCs w:val="28"/>
          <w:rtl/>
        </w:rPr>
        <w:t>שויון</w:t>
      </w:r>
      <w:proofErr w:type="spellEnd"/>
      <w:r w:rsidRPr="001D7814">
        <w:rPr>
          <w:rFonts w:ascii="Arial TUR" w:eastAsia="Times New Roman" w:hAnsi="Arial TUR" w:cs="FrankRuehl" w:hint="cs"/>
          <w:spacing w:val="10"/>
          <w:sz w:val="28"/>
          <w:szCs w:val="28"/>
          <w:rtl/>
        </w:rPr>
        <w:t>, וכי רשויות השלטון ירחיקו עצמן מכל מעשה או מחדל כלפי המאמינים על זרמיהם, לרבות ארגוניהם ומוסדותיהם, שטעם של הפליה פסולה מתלווה אליו".</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Arial TUR"/>
          <w:spacing w:val="10"/>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r w:rsidRPr="001D7814">
        <w:rPr>
          <w:rFonts w:ascii="Arial TUR" w:eastAsia="Times New Roman" w:hAnsi="Arial TUR" w:cs="FrankRuehl" w:hint="cs"/>
          <w:spacing w:val="10"/>
          <w:sz w:val="28"/>
          <w:szCs w:val="28"/>
          <w:rtl/>
        </w:rPr>
        <w:t xml:space="preserve">           </w:t>
      </w:r>
      <w:r w:rsidRPr="00913FEB">
        <w:rPr>
          <w:rFonts w:ascii="Arial TUR" w:eastAsia="Times New Roman" w:hAnsi="Arial TUR" w:cs="FrankRuehl" w:hint="cs"/>
          <w:spacing w:val="10"/>
          <w:sz w:val="28"/>
          <w:szCs w:val="28"/>
          <w:highlight w:val="yellow"/>
          <w:rtl/>
        </w:rPr>
        <w:t>חופש הדת כולל בחובו שני ציווים כלפי המדינה – עשה ולא תעשה, בבחינת "סוּר מֵרָע וַעֲשֵׂה טוֹב</w:t>
      </w:r>
      <w:r w:rsidRPr="00913FEB">
        <w:rPr>
          <w:rFonts w:ascii="Arial TUR" w:eastAsia="Times New Roman" w:hAnsi="Arial TUR" w:cs="David" w:hint="cs"/>
          <w:spacing w:val="10"/>
          <w:sz w:val="36"/>
          <w:szCs w:val="36"/>
          <w:highlight w:val="yellow"/>
          <w:rtl/>
        </w:rPr>
        <w:t xml:space="preserve"> </w:t>
      </w:r>
      <w:r w:rsidRPr="00913FEB">
        <w:rPr>
          <w:rFonts w:ascii="Arial TUR" w:eastAsia="Times New Roman" w:hAnsi="Arial TUR" w:cs="FrankRuehl" w:hint="cs"/>
          <w:spacing w:val="10"/>
          <w:sz w:val="28"/>
          <w:szCs w:val="28"/>
          <w:highlight w:val="yellow"/>
          <w:rtl/>
        </w:rPr>
        <w:t>" (</w:t>
      </w:r>
      <w:r w:rsidRPr="00913FEB">
        <w:rPr>
          <w:rFonts w:ascii="Arial TUR" w:eastAsia="Times New Roman" w:hAnsi="Arial TUR" w:cs="Miriam" w:hint="cs"/>
          <w:sz w:val="24"/>
          <w:szCs w:val="24"/>
          <w:highlight w:val="yellow"/>
          <w:rtl/>
        </w:rPr>
        <w:t>תהלים</w:t>
      </w:r>
      <w:r w:rsidRPr="00913FEB">
        <w:rPr>
          <w:rFonts w:ascii="Arial TUR" w:eastAsia="Times New Roman" w:hAnsi="Arial TUR" w:cs="FrankRuehl" w:hint="cs"/>
          <w:spacing w:val="10"/>
          <w:sz w:val="28"/>
          <w:szCs w:val="28"/>
          <w:highlight w:val="yellow"/>
          <w:rtl/>
        </w:rPr>
        <w:t xml:space="preserve"> ל"ד, ט"ו): ראשית, להימנע מהתערבות בחיים הדתיים של אדם; ושנית, לספק תשתית הולמת לקיומם של חיים דתיים</w:t>
      </w:r>
      <w:r w:rsidRPr="001D7814">
        <w:rPr>
          <w:rFonts w:ascii="Arial TUR" w:eastAsia="Times New Roman" w:hAnsi="Arial TUR" w:cs="FrankRuehl" w:hint="cs"/>
          <w:spacing w:val="10"/>
          <w:sz w:val="28"/>
          <w:szCs w:val="28"/>
          <w:rtl/>
        </w:rPr>
        <w:t xml:space="preserve"> (ראו דני </w:t>
      </w:r>
      <w:proofErr w:type="spellStart"/>
      <w:r w:rsidRPr="001D7814">
        <w:rPr>
          <w:rFonts w:ascii="Arial TUR" w:eastAsia="Times New Roman" w:hAnsi="Arial TUR" w:cs="FrankRuehl" w:hint="cs"/>
          <w:spacing w:val="10"/>
          <w:sz w:val="28"/>
          <w:szCs w:val="28"/>
          <w:rtl/>
        </w:rPr>
        <w:t>סטטמן</w:t>
      </w:r>
      <w:proofErr w:type="spellEnd"/>
      <w:r w:rsidRPr="001D7814">
        <w:rPr>
          <w:rFonts w:ascii="Arial TUR" w:eastAsia="Times New Roman" w:hAnsi="Arial TUR" w:cs="FrankRuehl" w:hint="cs"/>
          <w:spacing w:val="10"/>
          <w:sz w:val="28"/>
          <w:szCs w:val="28"/>
          <w:rtl/>
        </w:rPr>
        <w:t xml:space="preserve"> וגדעון ספיר "חופש הדת, חופש מדת והגנה על רגשות דתיים" </w:t>
      </w:r>
      <w:r w:rsidRPr="001D7814">
        <w:rPr>
          <w:rFonts w:ascii="Arial TUR" w:eastAsia="Times New Roman" w:hAnsi="Arial TUR" w:cs="Miriam" w:hint="cs"/>
          <w:sz w:val="24"/>
          <w:szCs w:val="24"/>
          <w:rtl/>
        </w:rPr>
        <w:t>מחקרי משפט כ"א</w:t>
      </w:r>
      <w:r w:rsidRPr="001D7814">
        <w:rPr>
          <w:rFonts w:ascii="Arial TUR" w:eastAsia="Times New Roman" w:hAnsi="Arial TUR" w:cs="FrankRuehl" w:hint="cs"/>
          <w:spacing w:val="10"/>
          <w:sz w:val="28"/>
          <w:szCs w:val="28"/>
          <w:rtl/>
        </w:rPr>
        <w:t xml:space="preserve"> 5, 27-21 (תשס"ד-תשס"ה)). ההיבט השני של חופש הדת מושפע כמובן משיקולים תקציביים; יפים לכך דברי השופטת נתניהו בבג"ץ 3742/92 </w:t>
      </w:r>
      <w:r w:rsidRPr="001D7814">
        <w:rPr>
          <w:rFonts w:ascii="Arial TUR" w:eastAsia="Times New Roman" w:hAnsi="Arial TUR" w:cs="Miriam" w:hint="cs"/>
          <w:sz w:val="24"/>
          <w:szCs w:val="24"/>
          <w:rtl/>
        </w:rPr>
        <w:t>ברנד נ' שר התקשורת</w:t>
      </w:r>
      <w:r w:rsidRPr="001D7814">
        <w:rPr>
          <w:rFonts w:ascii="Arial TUR" w:eastAsia="Times New Roman" w:hAnsi="Arial TUR" w:cs="FrankRuehl" w:hint="cs"/>
          <w:spacing w:val="10"/>
          <w:sz w:val="28"/>
          <w:szCs w:val="28"/>
          <w:rtl/>
        </w:rPr>
        <w:t xml:space="preserve">, פ"ד </w:t>
      </w:r>
      <w:proofErr w:type="spellStart"/>
      <w:r w:rsidRPr="001D7814">
        <w:rPr>
          <w:rFonts w:ascii="Arial TUR" w:eastAsia="Times New Roman" w:hAnsi="Arial TUR" w:cs="FrankRuehl" w:hint="cs"/>
          <w:spacing w:val="10"/>
          <w:sz w:val="28"/>
          <w:szCs w:val="28"/>
          <w:rtl/>
        </w:rPr>
        <w:t>מז</w:t>
      </w:r>
      <w:proofErr w:type="spellEnd"/>
      <w:r w:rsidRPr="001D7814">
        <w:rPr>
          <w:rFonts w:ascii="Arial TUR" w:eastAsia="Times New Roman" w:hAnsi="Arial TUR" w:cs="FrankRuehl" w:hint="cs"/>
          <w:spacing w:val="10"/>
          <w:sz w:val="28"/>
          <w:szCs w:val="28"/>
          <w:rtl/>
        </w:rPr>
        <w:t xml:space="preserve">(3) 143, 152 (1993): "אין חברה שמשאביה בלתי מוגבלים. אין רשות, הפועלת בחברה על-פי חוק, רשאית ויכולה להתעלם מאילוצי תקציב ולספק שירותים ללא חשבון, ותהא חשיבותם של השירותים רבה וחיונית ככל שתהא" (ראו גם רבקה וויל "בריאות התקציב או תקציב הבריאות – מה עדיף בראייה חוקתית?" </w:t>
      </w:r>
      <w:r w:rsidRPr="001D7814">
        <w:rPr>
          <w:rFonts w:ascii="Arial TUR" w:eastAsia="Times New Roman" w:hAnsi="Arial TUR" w:cs="Miriam" w:hint="cs"/>
          <w:sz w:val="24"/>
          <w:szCs w:val="24"/>
          <w:rtl/>
        </w:rPr>
        <w:t xml:space="preserve">משפט ועסקים ו' </w:t>
      </w:r>
      <w:r w:rsidRPr="001D7814">
        <w:rPr>
          <w:rFonts w:ascii="Arial TUR" w:eastAsia="Times New Roman" w:hAnsi="Arial TUR" w:cs="FrankRuehl" w:hint="cs"/>
          <w:spacing w:val="10"/>
          <w:sz w:val="28"/>
          <w:szCs w:val="28"/>
          <w:rtl/>
        </w:rPr>
        <w:t xml:space="preserve">157 (התשס"ז-2007)). שיקולים מסוג זה אינם מהותיים ביותר בנידון </w:t>
      </w:r>
      <w:proofErr w:type="spellStart"/>
      <w:r w:rsidRPr="001D7814">
        <w:rPr>
          <w:rFonts w:ascii="Arial TUR" w:eastAsia="Times New Roman" w:hAnsi="Arial TUR" w:cs="FrankRuehl" w:hint="cs"/>
          <w:spacing w:val="10"/>
          <w:sz w:val="28"/>
          <w:szCs w:val="28"/>
          <w:rtl/>
        </w:rPr>
        <w:t>דידן</w:t>
      </w:r>
      <w:proofErr w:type="spellEnd"/>
      <w:r w:rsidRPr="001D7814">
        <w:rPr>
          <w:rFonts w:ascii="Arial TUR" w:eastAsia="Times New Roman" w:hAnsi="Arial TUR" w:cs="FrankRuehl" w:hint="cs"/>
          <w:spacing w:val="10"/>
          <w:sz w:val="28"/>
          <w:szCs w:val="28"/>
          <w:rtl/>
        </w:rPr>
        <w:t xml:space="preserve">, כיון שהתשתיות קיימות בעיקרן – וממילא המשיב 2 לא העלה טענה בהקשר זה. לאחר שעמדנו בקצרה על מקומו של חופש הדת בהקשר דנא, נחזור ונדגיש את האמור – אין להלום את הטענה לפיה קיימת "כבילה" הכרחית בין המעשה הדתי </w:t>
      </w:r>
      <w:proofErr w:type="spellStart"/>
      <w:r w:rsidRPr="001D7814">
        <w:rPr>
          <w:rFonts w:ascii="Arial TUR" w:eastAsia="Times New Roman" w:hAnsi="Arial TUR" w:cs="FrankRuehl" w:hint="cs"/>
          <w:spacing w:val="10"/>
          <w:sz w:val="28"/>
          <w:szCs w:val="28"/>
          <w:rtl/>
        </w:rPr>
        <w:t>לנפקותו</w:t>
      </w:r>
      <w:proofErr w:type="spellEnd"/>
      <w:r w:rsidRPr="001D7814">
        <w:rPr>
          <w:rFonts w:ascii="Arial TUR" w:eastAsia="Times New Roman" w:hAnsi="Arial TUR" w:cs="FrankRuehl" w:hint="cs"/>
          <w:spacing w:val="10"/>
          <w:sz w:val="28"/>
          <w:szCs w:val="28"/>
          <w:rtl/>
        </w:rPr>
        <w:t xml:space="preserve"> המשפטית. משכך, ומבלי לטעת מסמרות לעת זו, אין מניעה עקרונית לאפשר לקונסרבטיבים ולרפורמים לקיים טבילה </w:t>
      </w:r>
      <w:proofErr w:type="spellStart"/>
      <w:r w:rsidRPr="001D7814">
        <w:rPr>
          <w:rFonts w:ascii="Arial TUR" w:eastAsia="Times New Roman" w:hAnsi="Arial TUR" w:cs="FrankRuehl" w:hint="cs"/>
          <w:spacing w:val="10"/>
          <w:sz w:val="28"/>
          <w:szCs w:val="28"/>
          <w:rtl/>
        </w:rPr>
        <w:t>במקואות</w:t>
      </w:r>
      <w:proofErr w:type="spellEnd"/>
      <w:r w:rsidRPr="001D7814">
        <w:rPr>
          <w:rFonts w:ascii="Arial TUR" w:eastAsia="Times New Roman" w:hAnsi="Arial TUR" w:cs="FrankRuehl" w:hint="cs"/>
          <w:spacing w:val="10"/>
          <w:sz w:val="28"/>
          <w:szCs w:val="28"/>
          <w:rtl/>
        </w:rPr>
        <w:t xml:space="preserve"> ציבוריים, </w:t>
      </w:r>
      <w:r w:rsidRPr="001D7814">
        <w:rPr>
          <w:rFonts w:ascii="Arial TUR" w:eastAsia="Times New Roman" w:hAnsi="Arial TUR" w:cs="Miriam" w:hint="cs"/>
          <w:sz w:val="24"/>
          <w:szCs w:val="24"/>
          <w:rtl/>
        </w:rPr>
        <w:t xml:space="preserve">מבלי להכריע – כאן ועתה – </w:t>
      </w:r>
      <w:proofErr w:type="spellStart"/>
      <w:r w:rsidRPr="001D7814">
        <w:rPr>
          <w:rFonts w:ascii="Arial TUR" w:eastAsia="Times New Roman" w:hAnsi="Arial TUR" w:cs="Miriam" w:hint="cs"/>
          <w:sz w:val="24"/>
          <w:szCs w:val="24"/>
          <w:rtl/>
        </w:rPr>
        <w:t>בנפקותם</w:t>
      </w:r>
      <w:proofErr w:type="spellEnd"/>
      <w:r w:rsidRPr="001D7814">
        <w:rPr>
          <w:rFonts w:ascii="Arial TUR" w:eastAsia="Times New Roman" w:hAnsi="Arial TUR" w:cs="Miriam" w:hint="cs"/>
          <w:sz w:val="24"/>
          <w:szCs w:val="24"/>
          <w:rtl/>
        </w:rPr>
        <w:t xml:space="preserve"> המשפטית של גיורים אלה</w:t>
      </w:r>
      <w:r w:rsidRPr="001D7814">
        <w:rPr>
          <w:rFonts w:ascii="Arial TUR" w:eastAsia="Times New Roman" w:hAnsi="Arial TUR" w:cs="FrankRuehl" w:hint="cs"/>
          <w:spacing w:val="10"/>
          <w:sz w:val="28"/>
          <w:szCs w:val="28"/>
          <w:rtl/>
        </w:rPr>
        <w:t xml:space="preserve">. כאמור, שאלת </w:t>
      </w:r>
      <w:proofErr w:type="spellStart"/>
      <w:r w:rsidRPr="001D7814">
        <w:rPr>
          <w:rFonts w:ascii="Arial TUR" w:eastAsia="Times New Roman" w:hAnsi="Arial TUR" w:cs="FrankRuehl" w:hint="cs"/>
          <w:spacing w:val="10"/>
          <w:sz w:val="28"/>
          <w:szCs w:val="28"/>
          <w:rtl/>
        </w:rPr>
        <w:t>נפקותם</w:t>
      </w:r>
      <w:proofErr w:type="spellEnd"/>
      <w:r w:rsidRPr="001D7814">
        <w:rPr>
          <w:rFonts w:ascii="Arial TUR" w:eastAsia="Times New Roman" w:hAnsi="Arial TUR" w:cs="FrankRuehl" w:hint="cs"/>
          <w:spacing w:val="10"/>
          <w:sz w:val="28"/>
          <w:szCs w:val="28"/>
          <w:rtl/>
        </w:rPr>
        <w:t xml:space="preserve"> המשפטית של גיורים קונסרבטיביים ורפורמיים תלויה ועומדת בבית משפט זה, וסופה להתברר.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Arial TUR"/>
          <w:spacing w:val="10"/>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proofErr w:type="spellStart"/>
      <w:r w:rsidRPr="001D7814">
        <w:rPr>
          <w:rFonts w:ascii="Arial TUR" w:eastAsia="Times New Roman" w:hAnsi="Arial TUR" w:cs="FrankRuehl" w:hint="cs"/>
          <w:spacing w:val="10"/>
          <w:sz w:val="28"/>
          <w:szCs w:val="28"/>
          <w:rtl/>
        </w:rPr>
        <w:t>כא</w:t>
      </w:r>
      <w:proofErr w:type="spellEnd"/>
      <w:r w:rsidRPr="001D7814">
        <w:rPr>
          <w:rFonts w:ascii="Arial TUR" w:eastAsia="Times New Roman" w:hAnsi="Arial TUR" w:cs="FrankRuehl" w:hint="cs"/>
          <w:spacing w:val="10"/>
          <w:sz w:val="28"/>
          <w:szCs w:val="28"/>
          <w:rtl/>
        </w:rPr>
        <w:t>.</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כיון שהוזכר בתיק עקרון הפלורליזם, ראוי להזכיר כי המשפט העברי אינו נרתע מריבוי דעות וגישות. ראיה לכך ניתן למצוא בפרשנותו של </w:t>
      </w:r>
      <w:proofErr w:type="spellStart"/>
      <w:r w:rsidRPr="001D7814">
        <w:rPr>
          <w:rFonts w:ascii="Arial TUR" w:eastAsia="Times New Roman" w:hAnsi="Arial TUR" w:cs="FrankRuehl" w:hint="cs"/>
          <w:spacing w:val="10"/>
          <w:sz w:val="28"/>
          <w:szCs w:val="28"/>
          <w:rtl/>
        </w:rPr>
        <w:t>הנצי"ב</w:t>
      </w:r>
      <w:proofErr w:type="spellEnd"/>
      <w:r w:rsidRPr="001D7814">
        <w:rPr>
          <w:rFonts w:ascii="Arial TUR" w:eastAsia="Times New Roman" w:hAnsi="Arial TUR" w:cs="FrankRuehl" w:hint="cs"/>
          <w:spacing w:val="10"/>
          <w:sz w:val="28"/>
          <w:szCs w:val="28"/>
          <w:rtl/>
        </w:rPr>
        <w:t xml:space="preserve"> </w:t>
      </w:r>
      <w:proofErr w:type="spellStart"/>
      <w:r w:rsidRPr="001D7814">
        <w:rPr>
          <w:rFonts w:ascii="Arial TUR" w:eastAsia="Times New Roman" w:hAnsi="Arial TUR" w:cs="FrankRuehl" w:hint="cs"/>
          <w:spacing w:val="10"/>
          <w:sz w:val="28"/>
          <w:szCs w:val="28"/>
          <w:rtl/>
        </w:rPr>
        <w:t>מוולוז'ין</w:t>
      </w:r>
      <w:proofErr w:type="spellEnd"/>
      <w:r w:rsidRPr="001D7814">
        <w:rPr>
          <w:rFonts w:ascii="Arial TUR" w:eastAsia="Times New Roman" w:hAnsi="Arial TUR" w:cs="FrankRuehl" w:hint="cs"/>
          <w:spacing w:val="10"/>
          <w:sz w:val="28"/>
          <w:szCs w:val="28"/>
          <w:rtl/>
        </w:rPr>
        <w:t xml:space="preserve"> (הרב צבי יהודה ברלין, ראש ישיבת </w:t>
      </w:r>
      <w:proofErr w:type="spellStart"/>
      <w:r w:rsidRPr="001D7814">
        <w:rPr>
          <w:rFonts w:ascii="Arial TUR" w:eastAsia="Times New Roman" w:hAnsi="Arial TUR" w:cs="FrankRuehl" w:hint="cs"/>
          <w:spacing w:val="10"/>
          <w:sz w:val="28"/>
          <w:szCs w:val="28"/>
          <w:rtl/>
        </w:rPr>
        <w:t>וולוז'ין</w:t>
      </w:r>
      <w:proofErr w:type="spellEnd"/>
      <w:r w:rsidRPr="001D7814">
        <w:rPr>
          <w:rFonts w:ascii="Arial TUR" w:eastAsia="Times New Roman" w:hAnsi="Arial TUR" w:cs="FrankRuehl" w:hint="cs"/>
          <w:spacing w:val="10"/>
          <w:sz w:val="28"/>
          <w:szCs w:val="28"/>
          <w:rtl/>
        </w:rPr>
        <w:t xml:space="preserve">, המאה </w:t>
      </w:r>
      <w:proofErr w:type="spellStart"/>
      <w:r w:rsidRPr="001D7814">
        <w:rPr>
          <w:rFonts w:ascii="Arial TUR" w:eastAsia="Times New Roman" w:hAnsi="Arial TUR" w:cs="FrankRuehl" w:hint="cs"/>
          <w:spacing w:val="10"/>
          <w:sz w:val="28"/>
          <w:szCs w:val="28"/>
          <w:rtl/>
        </w:rPr>
        <w:t>הי"ט</w:t>
      </w:r>
      <w:proofErr w:type="spellEnd"/>
      <w:r w:rsidRPr="001D7814">
        <w:rPr>
          <w:rFonts w:ascii="Arial TUR" w:eastAsia="Times New Roman" w:hAnsi="Arial TUR" w:cs="FrankRuehl" w:hint="cs"/>
          <w:spacing w:val="10"/>
          <w:sz w:val="28"/>
          <w:szCs w:val="28"/>
          <w:rtl/>
        </w:rPr>
        <w:t xml:space="preserve">, רוסיה) בפירושו </w:t>
      </w:r>
      <w:r w:rsidRPr="001D7814">
        <w:rPr>
          <w:rFonts w:ascii="Arial TUR" w:eastAsia="Times New Roman" w:hAnsi="Arial TUR" w:cs="Miriam" w:hint="cs"/>
          <w:sz w:val="24"/>
          <w:szCs w:val="24"/>
          <w:rtl/>
        </w:rPr>
        <w:t xml:space="preserve">העמק דבר </w:t>
      </w:r>
      <w:r w:rsidRPr="001D7814">
        <w:rPr>
          <w:rFonts w:ascii="Arial TUR" w:eastAsia="Times New Roman" w:hAnsi="Arial TUR" w:cs="FrankRuehl" w:hint="cs"/>
          <w:spacing w:val="10"/>
          <w:sz w:val="28"/>
          <w:szCs w:val="28"/>
          <w:rtl/>
        </w:rPr>
        <w:t xml:space="preserve">לתורה, בעניין פרשיית "מגדל בבל" (מובא במאמר "'שפה אחת ודברים אחדים' – האמנם? ריבוי דעות וזכות האדם לדבר בלשונו" מאת אביעד הכהן </w:t>
      </w:r>
      <w:r w:rsidRPr="001D7814">
        <w:rPr>
          <w:rFonts w:ascii="Arial TUR" w:eastAsia="Times New Roman" w:hAnsi="Arial TUR" w:cs="Miriam" w:hint="cs"/>
          <w:sz w:val="24"/>
          <w:szCs w:val="24"/>
          <w:rtl/>
        </w:rPr>
        <w:t>פרשת השבוע</w:t>
      </w:r>
      <w:r w:rsidRPr="001D7814">
        <w:rPr>
          <w:rFonts w:ascii="Arial TUR" w:eastAsia="Times New Roman" w:hAnsi="Arial TUR" w:cs="FrankRuehl" w:hint="cs"/>
          <w:spacing w:val="10"/>
          <w:sz w:val="28"/>
          <w:szCs w:val="28"/>
          <w:rtl/>
        </w:rPr>
        <w:t xml:space="preserve">, </w:t>
      </w:r>
      <w:r w:rsidRPr="001D7814">
        <w:rPr>
          <w:rFonts w:ascii="Arial TUR" w:eastAsia="Times New Roman" w:hAnsi="Arial TUR" w:cs="Miriam" w:hint="cs"/>
          <w:sz w:val="24"/>
          <w:szCs w:val="24"/>
          <w:rtl/>
        </w:rPr>
        <w:t>בראשית</w:t>
      </w:r>
      <w:r w:rsidRPr="001D7814">
        <w:rPr>
          <w:rFonts w:ascii="Arial TUR" w:eastAsia="Times New Roman" w:hAnsi="Arial TUR" w:cs="FrankRuehl" w:hint="cs"/>
          <w:spacing w:val="10"/>
          <w:sz w:val="28"/>
          <w:szCs w:val="28"/>
          <w:rtl/>
        </w:rPr>
        <w:t xml:space="preserve"> 32, 34 (בעריכת א' הכהן ומ' </w:t>
      </w:r>
      <w:proofErr w:type="spellStart"/>
      <w:r w:rsidRPr="001D7814">
        <w:rPr>
          <w:rFonts w:ascii="Arial TUR" w:eastAsia="Times New Roman" w:hAnsi="Arial TUR" w:cs="FrankRuehl" w:hint="cs"/>
          <w:spacing w:val="10"/>
          <w:sz w:val="28"/>
          <w:szCs w:val="28"/>
          <w:rtl/>
        </w:rPr>
        <w:t>ויגודה</w:t>
      </w:r>
      <w:proofErr w:type="spellEnd"/>
      <w:r w:rsidRPr="001D7814">
        <w:rPr>
          <w:rFonts w:ascii="Arial TUR" w:eastAsia="Times New Roman" w:hAnsi="Arial TUR" w:cs="FrankRuehl" w:hint="cs"/>
          <w:spacing w:val="10"/>
          <w:sz w:val="28"/>
          <w:szCs w:val="28"/>
          <w:rtl/>
        </w:rPr>
        <w:t>; תשע"ב-2012)). המקרא מספר, כי בתקופת בניית מגדל בבל שררה בארץ מונוליטיות לשונית – "וַיְהִי כָל-הָאָרֶץ שָׂפָה אֶחָת וּדְבָרִים אֲחָדִים" (</w:t>
      </w:r>
      <w:r w:rsidRPr="001D7814">
        <w:rPr>
          <w:rFonts w:ascii="Arial TUR" w:eastAsia="Times New Roman" w:hAnsi="Arial TUR" w:cs="Miriam" w:hint="cs"/>
          <w:sz w:val="24"/>
          <w:szCs w:val="24"/>
          <w:rtl/>
        </w:rPr>
        <w:t>בראשית</w:t>
      </w:r>
      <w:r w:rsidRPr="001D7814">
        <w:rPr>
          <w:rFonts w:ascii="Arial TUR" w:eastAsia="Times New Roman" w:hAnsi="Arial TUR" w:cs="FrankRuehl" w:hint="cs"/>
          <w:spacing w:val="10"/>
          <w:sz w:val="28"/>
          <w:szCs w:val="28"/>
          <w:rtl/>
        </w:rPr>
        <w:t xml:space="preserve">, י"א א') – וזו </w:t>
      </w:r>
      <w:proofErr w:type="spellStart"/>
      <w:r w:rsidRPr="001D7814">
        <w:rPr>
          <w:rFonts w:ascii="Arial TUR" w:eastAsia="Times New Roman" w:hAnsi="Arial TUR" w:cs="FrankRuehl" w:hint="cs"/>
          <w:spacing w:val="10"/>
          <w:sz w:val="28"/>
          <w:szCs w:val="28"/>
          <w:rtl/>
        </w:rPr>
        <w:t>היתה</w:t>
      </w:r>
      <w:proofErr w:type="spellEnd"/>
      <w:r w:rsidRPr="001D7814">
        <w:rPr>
          <w:rFonts w:ascii="Arial TUR" w:eastAsia="Times New Roman" w:hAnsi="Arial TUR" w:cs="FrankRuehl" w:hint="cs"/>
          <w:spacing w:val="10"/>
          <w:sz w:val="28"/>
          <w:szCs w:val="28"/>
          <w:rtl/>
        </w:rPr>
        <w:t xml:space="preserve"> לזרא בעיני בורא עולם – "</w:t>
      </w:r>
      <w:proofErr w:type="spellStart"/>
      <w:r w:rsidRPr="001D7814">
        <w:rPr>
          <w:rFonts w:ascii="Arial TUR" w:eastAsia="Times New Roman" w:hAnsi="Arial TUR" w:cs="FrankRuehl" w:hint="cs"/>
          <w:spacing w:val="10"/>
          <w:sz w:val="28"/>
          <w:szCs w:val="28"/>
          <w:rtl/>
        </w:rPr>
        <w:t>וַיָּפֶץ</w:t>
      </w:r>
      <w:proofErr w:type="spellEnd"/>
      <w:r w:rsidRPr="001D7814">
        <w:rPr>
          <w:rFonts w:ascii="Arial TUR" w:eastAsia="Times New Roman" w:hAnsi="Arial TUR" w:cs="FrankRuehl" w:hint="cs"/>
          <w:spacing w:val="10"/>
          <w:sz w:val="28"/>
          <w:szCs w:val="28"/>
          <w:rtl/>
        </w:rPr>
        <w:t xml:space="preserve"> ה' אֹתָם מִשָּׁם, עַל-פְּנֵי כָל-הָאָרֶץ" (</w:t>
      </w:r>
      <w:r w:rsidRPr="001D7814">
        <w:rPr>
          <w:rFonts w:ascii="Arial TUR" w:eastAsia="Times New Roman" w:hAnsi="Arial TUR" w:cs="Miriam" w:hint="cs"/>
          <w:sz w:val="24"/>
          <w:szCs w:val="24"/>
          <w:rtl/>
        </w:rPr>
        <w:t>שם</w:t>
      </w:r>
      <w:r w:rsidRPr="001D7814">
        <w:rPr>
          <w:rFonts w:ascii="Arial TUR" w:eastAsia="Times New Roman" w:hAnsi="Arial TUR" w:cs="FrankRuehl" w:hint="cs"/>
          <w:spacing w:val="10"/>
          <w:sz w:val="28"/>
          <w:szCs w:val="28"/>
          <w:rtl/>
        </w:rPr>
        <w:t xml:space="preserve">, שם ח'). </w:t>
      </w:r>
      <w:proofErr w:type="spellStart"/>
      <w:r w:rsidRPr="001D7814">
        <w:rPr>
          <w:rFonts w:ascii="Arial TUR" w:eastAsia="Times New Roman" w:hAnsi="Arial TUR" w:cs="FrankRuehl" w:hint="cs"/>
          <w:spacing w:val="10"/>
          <w:sz w:val="28"/>
          <w:szCs w:val="28"/>
          <w:rtl/>
        </w:rPr>
        <w:t>הנצי"ב</w:t>
      </w:r>
      <w:proofErr w:type="spellEnd"/>
      <w:r w:rsidRPr="001D7814">
        <w:rPr>
          <w:rFonts w:ascii="Arial TUR" w:eastAsia="Times New Roman" w:hAnsi="Arial TUR" w:cs="FrankRuehl" w:hint="cs"/>
          <w:spacing w:val="10"/>
          <w:sz w:val="28"/>
          <w:szCs w:val="28"/>
          <w:rtl/>
        </w:rPr>
        <w:t xml:space="preserve"> מפרש, כי עונשם של בוני מגדל בבל נבע מכך שכפו את אחדות המחשבה: "מי שסר מ'דברים אחדים' שביניהם, היה משפטו לשריפה, כאשר עשו לאברהם אבינו. נמצא</w:t>
      </w:r>
      <w:r w:rsidRPr="001D7814">
        <w:rPr>
          <w:rFonts w:ascii="Century" w:eastAsia="Times New Roman" w:hAnsi="Century" w:cs="Arial TUR"/>
          <w:spacing w:val="10"/>
        </w:rPr>
        <w:t xml:space="preserve"> </w:t>
      </w:r>
      <w:r w:rsidRPr="001D7814">
        <w:rPr>
          <w:rFonts w:ascii="Arial TUR" w:eastAsia="Times New Roman" w:hAnsi="Arial TUR" w:cs="FrankRuehl" w:hint="cs"/>
          <w:spacing w:val="10"/>
          <w:sz w:val="28"/>
          <w:szCs w:val="28"/>
          <w:rtl/>
        </w:rPr>
        <w:t>היו 'דברים אחדים' שביניהם לרועץ,</w:t>
      </w:r>
      <w:r w:rsidRPr="001D7814">
        <w:rPr>
          <w:rFonts w:ascii="Century" w:eastAsia="Times New Roman" w:hAnsi="Century" w:cs="Arial TUR"/>
          <w:spacing w:val="10"/>
        </w:rPr>
        <w:t xml:space="preserve"> </w:t>
      </w:r>
      <w:r w:rsidRPr="001D7814">
        <w:rPr>
          <w:rFonts w:ascii="Arial TUR" w:eastAsia="Times New Roman" w:hAnsi="Arial TUR" w:cs="FrankRuehl" w:hint="cs"/>
          <w:spacing w:val="10"/>
          <w:sz w:val="28"/>
          <w:szCs w:val="28"/>
          <w:rtl/>
        </w:rPr>
        <w:t>שהחליטו</w:t>
      </w:r>
      <w:r w:rsidRPr="001D7814">
        <w:rPr>
          <w:rFonts w:ascii="Century" w:eastAsia="Times New Roman" w:hAnsi="Century" w:cs="Arial TUR"/>
          <w:spacing w:val="10"/>
        </w:rPr>
        <w:t xml:space="preserve"> </w:t>
      </w:r>
      <w:r w:rsidRPr="001D7814">
        <w:rPr>
          <w:rFonts w:ascii="Arial TUR" w:eastAsia="Times New Roman" w:hAnsi="Arial TUR" w:cs="FrankRuehl" w:hint="cs"/>
          <w:spacing w:val="10"/>
          <w:sz w:val="28"/>
          <w:szCs w:val="28"/>
          <w:rtl/>
        </w:rPr>
        <w:t>להרוג את מי שלא יחשוב כדעתם" (</w:t>
      </w:r>
      <w:r w:rsidRPr="001D7814">
        <w:rPr>
          <w:rFonts w:ascii="Arial TUR" w:eastAsia="Times New Roman" w:hAnsi="Arial TUR" w:cs="Miriam" w:hint="cs"/>
          <w:sz w:val="24"/>
          <w:szCs w:val="24"/>
          <w:rtl/>
        </w:rPr>
        <w:t>העמק דבר</w:t>
      </w:r>
      <w:r w:rsidRPr="001D7814">
        <w:rPr>
          <w:rFonts w:ascii="Arial TUR" w:eastAsia="Times New Roman" w:hAnsi="Arial TUR" w:cs="FrankRuehl" w:hint="cs"/>
          <w:spacing w:val="10"/>
          <w:sz w:val="28"/>
          <w:szCs w:val="28"/>
          <w:rtl/>
        </w:rPr>
        <w:t xml:space="preserve">, </w:t>
      </w:r>
      <w:r w:rsidRPr="001D7814">
        <w:rPr>
          <w:rFonts w:ascii="Arial TUR" w:eastAsia="Times New Roman" w:hAnsi="Arial TUR" w:cs="Miriam" w:hint="cs"/>
          <w:sz w:val="24"/>
          <w:szCs w:val="24"/>
          <w:rtl/>
        </w:rPr>
        <w:t>בראשית</w:t>
      </w:r>
      <w:r w:rsidRPr="001D7814">
        <w:rPr>
          <w:rFonts w:ascii="Arial TUR" w:eastAsia="Times New Roman" w:hAnsi="Arial TUR" w:cs="FrankRuehl" w:hint="cs"/>
          <w:spacing w:val="10"/>
          <w:sz w:val="28"/>
          <w:szCs w:val="28"/>
          <w:rtl/>
        </w:rPr>
        <w:t xml:space="preserve">, שם). ואומר התנא רבי יהודה </w:t>
      </w:r>
      <w:proofErr w:type="spellStart"/>
      <w:r w:rsidRPr="001D7814">
        <w:rPr>
          <w:rFonts w:ascii="Arial TUR" w:eastAsia="Times New Roman" w:hAnsi="Arial TUR" w:cs="FrankRuehl" w:hint="cs"/>
          <w:spacing w:val="10"/>
          <w:sz w:val="28"/>
          <w:szCs w:val="28"/>
          <w:rtl/>
        </w:rPr>
        <w:t>בתוספתא</w:t>
      </w:r>
      <w:proofErr w:type="spellEnd"/>
      <w:r w:rsidRPr="001D7814">
        <w:rPr>
          <w:rFonts w:ascii="Arial TUR" w:eastAsia="Times New Roman" w:hAnsi="Arial TUR" w:cs="FrankRuehl" w:hint="cs"/>
          <w:spacing w:val="10"/>
          <w:sz w:val="28"/>
          <w:szCs w:val="28"/>
          <w:rtl/>
        </w:rPr>
        <w:t xml:space="preserve">: "לא הוזכרו דברי יחיד בין </w:t>
      </w:r>
      <w:proofErr w:type="spellStart"/>
      <w:r w:rsidRPr="001D7814">
        <w:rPr>
          <w:rFonts w:ascii="Arial TUR" w:eastAsia="Times New Roman" w:hAnsi="Arial TUR" w:cs="FrankRuehl" w:hint="cs"/>
          <w:spacing w:val="10"/>
          <w:sz w:val="28"/>
          <w:szCs w:val="28"/>
          <w:rtl/>
        </w:rPr>
        <w:t>המרובין</w:t>
      </w:r>
      <w:proofErr w:type="spellEnd"/>
      <w:r w:rsidRPr="001D7814">
        <w:rPr>
          <w:rFonts w:ascii="Arial TUR" w:eastAsia="Times New Roman" w:hAnsi="Arial TUR" w:cs="FrankRuehl" w:hint="cs"/>
          <w:spacing w:val="10"/>
          <w:sz w:val="28"/>
          <w:szCs w:val="28"/>
          <w:rtl/>
        </w:rPr>
        <w:t xml:space="preserve"> אלא שמא תיצרך להן שעה ויסמכו עליהן" (</w:t>
      </w:r>
      <w:proofErr w:type="spellStart"/>
      <w:r w:rsidRPr="001D7814">
        <w:rPr>
          <w:rFonts w:ascii="Arial TUR" w:eastAsia="Times New Roman" w:hAnsi="Arial TUR" w:cs="FrankRuehl" w:hint="cs"/>
          <w:spacing w:val="10"/>
          <w:sz w:val="28"/>
          <w:szCs w:val="28"/>
          <w:rtl/>
        </w:rPr>
        <w:t>תוספתא</w:t>
      </w:r>
      <w:proofErr w:type="spellEnd"/>
      <w:r w:rsidRPr="001D7814">
        <w:rPr>
          <w:rFonts w:ascii="Arial TUR" w:eastAsia="Times New Roman" w:hAnsi="Arial TUR" w:cs="FrankRuehl" w:hint="cs"/>
          <w:spacing w:val="10"/>
          <w:sz w:val="28"/>
          <w:szCs w:val="28"/>
          <w:rtl/>
        </w:rPr>
        <w:t xml:space="preserve"> </w:t>
      </w:r>
      <w:r w:rsidRPr="001D7814">
        <w:rPr>
          <w:rFonts w:ascii="Arial TUR" w:eastAsia="Times New Roman" w:hAnsi="Arial TUR" w:cs="Miriam" w:hint="cs"/>
          <w:sz w:val="24"/>
          <w:szCs w:val="24"/>
          <w:rtl/>
        </w:rPr>
        <w:t>עדויות</w:t>
      </w:r>
      <w:r w:rsidRPr="001D7814">
        <w:rPr>
          <w:rFonts w:ascii="Arial TUR" w:eastAsia="Times New Roman" w:hAnsi="Arial TUR" w:cs="FrankRuehl" w:hint="cs"/>
          <w:spacing w:val="10"/>
          <w:sz w:val="28"/>
          <w:szCs w:val="28"/>
          <w:rtl/>
        </w:rPr>
        <w:t xml:space="preserve"> א' ד'). קרי, ר' יהודה הקדים בכמעט אלפיים שנה את הדעה שהושמעה לאחר מכן על-ידי ג'ון סטיוארט מיל בספרו "על החירות" (1859), לעניין "שוק חופשי" של דעות ככלי לבירור האמת.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eastAsia="Times New Roman" w:hAnsi="Arial TUR" w:cs="Arial TUR"/>
          <w:spacing w:val="10"/>
          <w:rtl/>
        </w:rPr>
      </w:pPr>
      <w:proofErr w:type="spellStart"/>
      <w:r w:rsidRPr="001D7814">
        <w:rPr>
          <w:rFonts w:ascii="Arial TUR" w:eastAsia="Times New Roman" w:hAnsi="Arial TUR" w:cs="FrankRuehl" w:hint="cs"/>
          <w:spacing w:val="10"/>
          <w:sz w:val="28"/>
          <w:szCs w:val="28"/>
          <w:rtl/>
        </w:rPr>
        <w:t>כב</w:t>
      </w:r>
      <w:proofErr w:type="spellEnd"/>
      <w:r w:rsidRPr="001D7814">
        <w:rPr>
          <w:rFonts w:ascii="Arial TUR" w:eastAsia="Times New Roman" w:hAnsi="Arial TUR" w:cs="FrankRuehl" w:hint="cs"/>
          <w:spacing w:val="10"/>
          <w:sz w:val="28"/>
          <w:szCs w:val="28"/>
          <w:rtl/>
        </w:rPr>
        <w:t>.</w:t>
      </w:r>
      <w:r w:rsidRPr="001D7814">
        <w:rPr>
          <w:rFonts w:ascii="Times New Roman" w:eastAsia="Times New Roman" w:hAnsi="Times New Roman" w:cs="Times New Roman"/>
          <w:spacing w:val="10"/>
          <w:sz w:val="14"/>
          <w:szCs w:val="14"/>
          <w:rtl/>
        </w:rPr>
        <w:t xml:space="preserve">          </w:t>
      </w:r>
      <w:r w:rsidRPr="001D7814">
        <w:rPr>
          <w:rFonts w:ascii="Arial TUR" w:eastAsia="Times New Roman" w:hAnsi="Arial TUR" w:cs="FrankRuehl" w:hint="cs"/>
          <w:spacing w:val="10"/>
          <w:sz w:val="28"/>
          <w:szCs w:val="28"/>
          <w:rtl/>
        </w:rPr>
        <w:t xml:space="preserve">הערעור מתקבל </w:t>
      </w:r>
      <w:proofErr w:type="spellStart"/>
      <w:r w:rsidRPr="001D7814">
        <w:rPr>
          <w:rFonts w:ascii="Arial TUR" w:eastAsia="Times New Roman" w:hAnsi="Arial TUR" w:cs="FrankRuehl" w:hint="cs"/>
          <w:spacing w:val="10"/>
          <w:sz w:val="28"/>
          <w:szCs w:val="28"/>
          <w:rtl/>
        </w:rPr>
        <w:t>איפוא</w:t>
      </w:r>
      <w:proofErr w:type="spellEnd"/>
      <w:r w:rsidRPr="001D7814">
        <w:rPr>
          <w:rFonts w:ascii="Arial TUR" w:eastAsia="Times New Roman" w:hAnsi="Arial TUR" w:cs="FrankRuehl" w:hint="cs"/>
          <w:spacing w:val="10"/>
          <w:sz w:val="28"/>
          <w:szCs w:val="28"/>
          <w:rtl/>
        </w:rPr>
        <w:t xml:space="preserve"> במובן זה שהמשיבים 1 ו-2 יאפשרו למתגיירים מטעם המערערות לטבול </w:t>
      </w:r>
      <w:proofErr w:type="spellStart"/>
      <w:r w:rsidRPr="001D7814">
        <w:rPr>
          <w:rFonts w:ascii="Arial TUR" w:eastAsia="Times New Roman" w:hAnsi="Arial TUR" w:cs="FrankRuehl" w:hint="cs"/>
          <w:spacing w:val="10"/>
          <w:sz w:val="28"/>
          <w:szCs w:val="28"/>
          <w:rtl/>
        </w:rPr>
        <w:t>במקוה</w:t>
      </w:r>
      <w:proofErr w:type="spellEnd"/>
      <w:r w:rsidRPr="001D7814">
        <w:rPr>
          <w:rFonts w:ascii="Arial TUR" w:eastAsia="Times New Roman" w:hAnsi="Arial TUR" w:cs="FrankRuehl" w:hint="cs"/>
          <w:spacing w:val="10"/>
          <w:sz w:val="28"/>
          <w:szCs w:val="28"/>
          <w:rtl/>
        </w:rPr>
        <w:t xml:space="preserve"> ציבורי בבאר-שבע, לרבות נוכחות בית-דין מטעמן במהלך הטבילה. מטבע הדברים, </w:t>
      </w:r>
      <w:r w:rsidRPr="00EE5E13">
        <w:rPr>
          <w:rFonts w:ascii="Arial TUR" w:eastAsia="Times New Roman" w:hAnsi="Arial TUR" w:cs="FrankRuehl" w:hint="cs"/>
          <w:spacing w:val="10"/>
          <w:sz w:val="28"/>
          <w:szCs w:val="28"/>
          <w:highlight w:val="yellow"/>
          <w:rtl/>
        </w:rPr>
        <w:t xml:space="preserve">על </w:t>
      </w:r>
      <w:proofErr w:type="spellStart"/>
      <w:r w:rsidRPr="00EE5E13">
        <w:rPr>
          <w:rFonts w:ascii="Arial TUR" w:eastAsia="Times New Roman" w:hAnsi="Arial TUR" w:cs="FrankRuehl" w:hint="cs"/>
          <w:spacing w:val="10"/>
          <w:sz w:val="28"/>
          <w:szCs w:val="28"/>
          <w:highlight w:val="yellow"/>
          <w:rtl/>
        </w:rPr>
        <w:t>פיתרון</w:t>
      </w:r>
      <w:proofErr w:type="spellEnd"/>
      <w:r w:rsidRPr="00EE5E13">
        <w:rPr>
          <w:rFonts w:ascii="Arial TUR" w:eastAsia="Times New Roman" w:hAnsi="Arial TUR" w:cs="FrankRuehl" w:hint="cs"/>
          <w:spacing w:val="10"/>
          <w:sz w:val="28"/>
          <w:szCs w:val="28"/>
          <w:highlight w:val="yellow"/>
          <w:rtl/>
        </w:rPr>
        <w:t xml:space="preserve"> דומה להימצא </w:t>
      </w:r>
      <w:proofErr w:type="spellStart"/>
      <w:r w:rsidRPr="00EE5E13">
        <w:rPr>
          <w:rFonts w:ascii="Arial TUR" w:eastAsia="Times New Roman" w:hAnsi="Arial TUR" w:cs="FrankRuehl" w:hint="cs"/>
          <w:spacing w:val="10"/>
          <w:sz w:val="28"/>
          <w:szCs w:val="28"/>
          <w:highlight w:val="yellow"/>
          <w:rtl/>
        </w:rPr>
        <w:t>במקואות</w:t>
      </w:r>
      <w:proofErr w:type="spellEnd"/>
      <w:r w:rsidRPr="00EE5E13">
        <w:rPr>
          <w:rFonts w:ascii="Arial TUR" w:eastAsia="Times New Roman" w:hAnsi="Arial TUR" w:cs="FrankRuehl" w:hint="cs"/>
          <w:spacing w:val="10"/>
          <w:sz w:val="28"/>
          <w:szCs w:val="28"/>
          <w:highlight w:val="yellow"/>
          <w:rtl/>
        </w:rPr>
        <w:t xml:space="preserve"> ברשויות אחרות בהן מתאפשרת טבילת מתגיירים</w:t>
      </w:r>
      <w:r w:rsidRPr="001D7814">
        <w:rPr>
          <w:rFonts w:ascii="Arial TUR" w:eastAsia="Times New Roman" w:hAnsi="Arial TUR" w:cs="FrankRuehl" w:hint="cs"/>
          <w:spacing w:val="10"/>
          <w:sz w:val="28"/>
          <w:szCs w:val="28"/>
          <w:rtl/>
        </w:rPr>
        <w:t>. כל אחת מן המשיבות תשלם הוצאות המערערות ושכר טרחה כולל בסך 12,000 ש"ח.</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480" w:lineRule="auto"/>
        <w:jc w:val="both"/>
        <w:rPr>
          <w:rFonts w:ascii="Arial TUR" w:hAnsi="Arial TUR" w:cs="Arial TUR"/>
          <w:spacing w:val="10"/>
          <w:rtl/>
        </w:rPr>
      </w:pPr>
      <w:r w:rsidRPr="001D7814">
        <w:rPr>
          <w:rFonts w:ascii="Arial TUR" w:hAnsi="Arial TUR" w:cs="FrankRuehl" w:hint="cs"/>
          <w:spacing w:val="10"/>
          <w:sz w:val="28"/>
          <w:szCs w:val="28"/>
          <w:rtl/>
        </w:rPr>
        <w:t>                                                                                         המשנה-לנשיאה</w:t>
      </w:r>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tl/>
        </w:rPr>
      </w:pPr>
      <w:r w:rsidRPr="001D7814">
        <w:rPr>
          <w:rFonts w:ascii="Times New Roman" w:eastAsia="Times New Roman" w:hAnsi="Times New Roman" w:cs="David" w:hint="cs"/>
          <w:sz w:val="16"/>
          <w:szCs w:val="16"/>
          <w:rtl/>
        </w:rPr>
        <w:t> </w:t>
      </w:r>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tl/>
        </w:rPr>
      </w:pPr>
      <w:r w:rsidRPr="001D7814">
        <w:rPr>
          <w:rFonts w:ascii="Times New Roman" w:eastAsia="Times New Roman" w:hAnsi="Times New Roman" w:cs="David" w:hint="cs"/>
          <w:sz w:val="16"/>
          <w:szCs w:val="16"/>
          <w:rtl/>
        </w:rPr>
        <w:t> </w:t>
      </w:r>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spacing w:val="10"/>
          <w:rtl/>
        </w:rPr>
      </w:pPr>
      <w:r w:rsidRPr="001D7814">
        <w:rPr>
          <w:rFonts w:ascii="Times New Roman" w:eastAsia="Times New Roman" w:hAnsi="Times New Roman" w:cs="Miriam" w:hint="cs"/>
          <w:spacing w:val="10"/>
          <w:sz w:val="24"/>
          <w:szCs w:val="24"/>
          <w:u w:val="single"/>
          <w:rtl/>
        </w:rPr>
        <w:t>השופט ס' ג'ובראן:</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אני מסכים.</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ש ו פ ט</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spacing w:val="10"/>
          <w:rtl/>
        </w:rPr>
      </w:pPr>
      <w:r w:rsidRPr="001D7814">
        <w:rPr>
          <w:rFonts w:ascii="Times New Roman" w:eastAsia="Times New Roman" w:hAnsi="Times New Roman" w:cs="Miriam" w:hint="cs"/>
          <w:spacing w:val="10"/>
          <w:sz w:val="24"/>
          <w:szCs w:val="24"/>
          <w:u w:val="single"/>
          <w:rtl/>
        </w:rPr>
        <w:t>הנשיאה מ' נאור</w:t>
      </w:r>
      <w:r w:rsidRPr="001D7814">
        <w:rPr>
          <w:rFonts w:ascii="Times New Roman" w:eastAsia="Times New Roman" w:hAnsi="Times New Roman" w:cs="Miriam" w:hint="cs"/>
          <w:spacing w:val="10"/>
          <w:sz w:val="24"/>
          <w:szCs w:val="24"/>
          <w:rtl/>
        </w:rPr>
        <w:t>:</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xml:space="preserve">           אני מסכימה לפסק דינו של חברי המשנה לנשיאה </w:t>
      </w:r>
      <w:r w:rsidRPr="001D7814">
        <w:rPr>
          <w:rFonts w:ascii="Arial TUR" w:hAnsi="Arial TUR" w:cs="Miriam" w:hint="cs"/>
          <w:sz w:val="24"/>
          <w:szCs w:val="24"/>
          <w:rtl/>
        </w:rPr>
        <w:t>א' רובינשטיין</w:t>
      </w:r>
      <w:r w:rsidRPr="001D7814">
        <w:rPr>
          <w:rFonts w:ascii="Arial TUR" w:hAnsi="Arial TUR" w:cs="FrankRuehl" w:hint="cs"/>
          <w:spacing w:val="10"/>
          <w:sz w:val="28"/>
          <w:szCs w:val="28"/>
          <w:rtl/>
        </w:rPr>
        <w:t xml:space="preserve"> ולהנמקותיו.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xml:space="preserve">           אכן, בתחילת דרכו של הליך זה סברנו כי ראוי למצוא פתרון פרגמטי שיענה על הבעיה עליה הצביעו המערערים, פתרון שייתר הכרעה שיפוטית בסוגיות שדרכן לפלג את הציבור. יש לעתים יתרונות רבים לפתרונות פרגמטיים במסגרתם לא בהכרח ייקוב הדין את ההר. הטבילה לגיור – היא אירוע חד פעמי בחייו של אדם, ואם היו נמצאים מקוואות במרחק נסיעה סביר – אפשר וניתן היה להסתפק בכך. על כן, אין אני רואה הכרח, במסגרת הליך זה, לקבוע מסמרות בשאלה האם יש צורך במקוואות בהם מתאפשרת טבילת מתגיירים בכל רשות ורשות.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xml:space="preserve">           ואולם, לצערי, וכפי שהראה חברי בפסקה ח' לחוות דעתו, אף שהמדינה הודיעה בלא בדיקה מספקת כי יש למערערות גישה לשני מקוואות במקומות מרכזיים, התברר בסופו של דבר כי אין פתרון מעשי, </w:t>
      </w:r>
      <w:proofErr w:type="spellStart"/>
      <w:r w:rsidRPr="001D7814">
        <w:rPr>
          <w:rFonts w:ascii="Arial TUR" w:hAnsi="Arial TUR" w:cs="FrankRuehl" w:hint="cs"/>
          <w:spacing w:val="10"/>
          <w:sz w:val="28"/>
          <w:szCs w:val="28"/>
          <w:rtl/>
        </w:rPr>
        <w:t>הכל</w:t>
      </w:r>
      <w:proofErr w:type="spellEnd"/>
      <w:r w:rsidRPr="001D7814">
        <w:rPr>
          <w:rFonts w:ascii="Arial TUR" w:hAnsi="Arial TUR" w:cs="FrankRuehl" w:hint="cs"/>
          <w:spacing w:val="10"/>
          <w:sz w:val="28"/>
          <w:szCs w:val="28"/>
          <w:rtl/>
        </w:rPr>
        <w:t xml:space="preserve"> כפי שפירט חברי.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xml:space="preserve">           בנסיבות אלה אין מנוס ממתן הכרעתנו, ואני מסכימה כאמור לדברי חברי.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480" w:lineRule="auto"/>
        <w:jc w:val="both"/>
        <w:rPr>
          <w:rFonts w:ascii="Arial TUR" w:hAnsi="Arial TUR" w:cs="Arial TUR"/>
          <w:spacing w:val="10"/>
          <w:rtl/>
        </w:rPr>
      </w:pPr>
      <w:r w:rsidRPr="001D7814">
        <w:rPr>
          <w:rFonts w:ascii="Arial TUR" w:hAnsi="Arial TUR" w:cs="FrankRuehl" w:hint="cs"/>
          <w:spacing w:val="10"/>
          <w:sz w:val="28"/>
          <w:szCs w:val="28"/>
          <w:rtl/>
        </w:rPr>
        <w:t>                                                                                             ה נ ש י א ה</w:t>
      </w:r>
    </w:p>
    <w:p w:rsidR="001D7814" w:rsidRPr="001D7814" w:rsidRDefault="001D7814" w:rsidP="001D7814">
      <w:pPr>
        <w:overflowPunct w:val="0"/>
        <w:autoSpaceDE w:val="0"/>
        <w:autoSpaceDN w:val="0"/>
        <w:spacing w:after="0" w:line="360" w:lineRule="auto"/>
        <w:ind w:firstLine="720"/>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ind w:firstLine="720"/>
        <w:jc w:val="both"/>
        <w:rPr>
          <w:rFonts w:ascii="Arial TUR" w:hAnsi="Arial TUR" w:cs="Arial TUR"/>
          <w:spacing w:val="10"/>
          <w:rtl/>
        </w:rPr>
      </w:pPr>
      <w:r w:rsidRPr="001D7814">
        <w:rPr>
          <w:rFonts w:ascii="Arial TUR" w:hAnsi="Arial TUR" w:cs="FrankRuehl" w:hint="cs"/>
          <w:spacing w:val="10"/>
          <w:sz w:val="28"/>
          <w:szCs w:val="28"/>
          <w:rtl/>
        </w:rPr>
        <w:t>הוחלט כאמור בפסק דינו של המשנה לנשיאה א' רובינשטיין.</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xml:space="preserve">           ניתן היום, ‏ב' באדר א </w:t>
      </w:r>
      <w:proofErr w:type="spellStart"/>
      <w:r w:rsidRPr="001D7814">
        <w:rPr>
          <w:rFonts w:ascii="Arial TUR" w:hAnsi="Arial TUR" w:cs="FrankRuehl" w:hint="cs"/>
          <w:spacing w:val="10"/>
          <w:sz w:val="28"/>
          <w:szCs w:val="28"/>
          <w:rtl/>
        </w:rPr>
        <w:t>התשע"ו</w:t>
      </w:r>
      <w:proofErr w:type="spellEnd"/>
      <w:r w:rsidRPr="001D7814">
        <w:rPr>
          <w:rFonts w:ascii="Arial TUR" w:hAnsi="Arial TUR" w:cs="FrankRuehl" w:hint="cs"/>
          <w:spacing w:val="10"/>
          <w:sz w:val="28"/>
          <w:szCs w:val="28"/>
          <w:rtl/>
        </w:rPr>
        <w:t xml:space="preserve"> (‏11.2.2016).</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tbl>
      <w:tblPr>
        <w:bidiVisual/>
        <w:tblW w:w="0" w:type="auto"/>
        <w:tblCellMar>
          <w:left w:w="0" w:type="dxa"/>
          <w:right w:w="0" w:type="dxa"/>
        </w:tblCellMar>
        <w:tblLook w:val="04A0" w:firstRow="1" w:lastRow="0" w:firstColumn="1" w:lastColumn="0" w:noHBand="0" w:noVBand="1"/>
      </w:tblPr>
      <w:tblGrid>
        <w:gridCol w:w="2840"/>
        <w:gridCol w:w="2841"/>
        <w:gridCol w:w="2841"/>
      </w:tblGrid>
      <w:tr w:rsidR="001D7814" w:rsidRPr="001D7814" w:rsidTr="001D7814">
        <w:tc>
          <w:tcPr>
            <w:tcW w:w="2842"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360" w:lineRule="auto"/>
              <w:jc w:val="center"/>
              <w:rPr>
                <w:rFonts w:ascii="Arial TUR" w:hAnsi="Arial TUR" w:cs="Arial TUR"/>
                <w:spacing w:val="10"/>
              </w:rPr>
            </w:pPr>
            <w:r w:rsidRPr="001D7814">
              <w:rPr>
                <w:rFonts w:ascii="Arial TUR" w:hAnsi="Arial TUR" w:cs="FrankRuehl" w:hint="cs"/>
                <w:spacing w:val="10"/>
                <w:sz w:val="28"/>
                <w:szCs w:val="28"/>
                <w:rtl/>
              </w:rPr>
              <w:t>ה נ ש י א ה</w:t>
            </w:r>
          </w:p>
        </w:tc>
        <w:tc>
          <w:tcPr>
            <w:tcW w:w="2843"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360" w:lineRule="auto"/>
              <w:jc w:val="center"/>
              <w:rPr>
                <w:rFonts w:ascii="Arial TUR" w:hAnsi="Arial TUR" w:cs="Arial TUR"/>
                <w:spacing w:val="10"/>
              </w:rPr>
            </w:pPr>
            <w:r w:rsidRPr="001D7814">
              <w:rPr>
                <w:rFonts w:ascii="Arial TUR" w:hAnsi="Arial TUR" w:cs="FrankRuehl" w:hint="cs"/>
                <w:spacing w:val="10"/>
                <w:sz w:val="28"/>
                <w:szCs w:val="28"/>
                <w:rtl/>
              </w:rPr>
              <w:t>המשנה לנשיאה</w:t>
            </w:r>
          </w:p>
        </w:tc>
        <w:tc>
          <w:tcPr>
            <w:tcW w:w="2843" w:type="dxa"/>
            <w:tcMar>
              <w:top w:w="0" w:type="dxa"/>
              <w:left w:w="108" w:type="dxa"/>
              <w:bottom w:w="0" w:type="dxa"/>
              <w:right w:w="108" w:type="dxa"/>
            </w:tcMar>
            <w:hideMark/>
          </w:tcPr>
          <w:p w:rsidR="001D7814" w:rsidRPr="001D7814" w:rsidRDefault="001D7814" w:rsidP="001D7814">
            <w:pPr>
              <w:overflowPunct w:val="0"/>
              <w:autoSpaceDE w:val="0"/>
              <w:autoSpaceDN w:val="0"/>
              <w:spacing w:after="0" w:line="360" w:lineRule="auto"/>
              <w:jc w:val="center"/>
              <w:rPr>
                <w:rFonts w:ascii="Arial TUR" w:hAnsi="Arial TUR" w:cs="Arial TUR"/>
                <w:spacing w:val="10"/>
              </w:rPr>
            </w:pPr>
            <w:r w:rsidRPr="001D7814">
              <w:rPr>
                <w:rFonts w:ascii="Arial TUR" w:hAnsi="Arial TUR" w:cs="FrankRuehl" w:hint="cs"/>
                <w:spacing w:val="10"/>
                <w:sz w:val="28"/>
                <w:szCs w:val="28"/>
                <w:rtl/>
              </w:rPr>
              <w:t>ש ו פ ט</w:t>
            </w:r>
          </w:p>
        </w:tc>
      </w:tr>
    </w:tbl>
    <w:p w:rsidR="001D7814" w:rsidRPr="001D7814" w:rsidRDefault="001D7814" w:rsidP="001D7814">
      <w:pPr>
        <w:overflowPunct w:val="0"/>
        <w:autoSpaceDE w:val="0"/>
        <w:autoSpaceDN w:val="0"/>
        <w:spacing w:after="0" w:line="360" w:lineRule="auto"/>
        <w:jc w:val="both"/>
        <w:rPr>
          <w:rFonts w:ascii="Arial TUR" w:hAnsi="Arial TUR" w:cs="Arial TUR"/>
          <w:spacing w:val="10"/>
          <w:rtl/>
        </w:rPr>
      </w:pPr>
      <w:r w:rsidRPr="001D7814">
        <w:rPr>
          <w:rFonts w:ascii="Arial TUR" w:hAnsi="Arial TUR" w:cs="FrankRuehl" w:hint="cs"/>
          <w:spacing w:val="10"/>
          <w:sz w:val="28"/>
          <w:szCs w:val="28"/>
          <w:rtl/>
        </w:rPr>
        <w:t> </w:t>
      </w:r>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sz w:val="20"/>
          <w:szCs w:val="20"/>
          <w:rtl/>
        </w:rPr>
      </w:pPr>
      <w:r w:rsidRPr="001D7814">
        <w:rPr>
          <w:rFonts w:ascii="Times New Roman" w:eastAsia="Times New Roman" w:hAnsi="Times New Roman" w:cs="David" w:hint="cs"/>
          <w:sz w:val="16"/>
          <w:szCs w:val="16"/>
          <w:rtl/>
        </w:rPr>
        <w:t>_________________________</w:t>
      </w:r>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tl/>
        </w:rPr>
      </w:pPr>
      <w:r w:rsidRPr="001D7814">
        <w:rPr>
          <w:rFonts w:ascii="Times New Roman" w:eastAsia="Times New Roman" w:hAnsi="Times New Roman" w:cs="David" w:hint="cs"/>
          <w:sz w:val="16"/>
          <w:szCs w:val="16"/>
          <w:rtl/>
        </w:rPr>
        <w:t>העותק כפוף לשינויי עריכה וניסוח.</w:t>
      </w:r>
      <w:r w:rsidRPr="001D7814">
        <w:rPr>
          <w:rFonts w:ascii="Times New Roman" w:eastAsia="Times New Roman" w:hAnsi="Times New Roman" w:cs="Times New Roman" w:hint="cs"/>
          <w:sz w:val="16"/>
          <w:szCs w:val="16"/>
        </w:rPr>
        <w:t xml:space="preserve"> </w:t>
      </w:r>
      <w:r w:rsidRPr="001D7814">
        <w:rPr>
          <w:rFonts w:ascii="Times New Roman" w:eastAsia="Times New Roman" w:hAnsi="Times New Roman" w:cs="Times New Roman"/>
          <w:sz w:val="16"/>
          <w:szCs w:val="16"/>
        </w:rPr>
        <w:t xml:space="preserve">  10058750_T33.doc   </w:t>
      </w:r>
      <w:proofErr w:type="spellStart"/>
      <w:r w:rsidRPr="001D7814">
        <w:rPr>
          <w:rFonts w:ascii="Times New Roman" w:eastAsia="Times New Roman" w:hAnsi="Times New Roman" w:cs="David" w:hint="cs"/>
          <w:sz w:val="16"/>
          <w:szCs w:val="16"/>
          <w:rtl/>
        </w:rPr>
        <w:t>רח</w:t>
      </w:r>
      <w:proofErr w:type="spellEnd"/>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tl/>
        </w:rPr>
      </w:pPr>
      <w:r w:rsidRPr="001D7814">
        <w:rPr>
          <w:rFonts w:ascii="Times New Roman" w:eastAsia="Times New Roman" w:hAnsi="Times New Roman" w:cs="David" w:hint="cs"/>
          <w:sz w:val="16"/>
          <w:szCs w:val="16"/>
          <w:rtl/>
        </w:rPr>
        <w:t xml:space="preserve">מרכז מידע, טל' 077-2703333 ; אתר אינטרנט,  </w:t>
      </w:r>
      <w:hyperlink r:id="rId4" w:history="1">
        <w:r w:rsidRPr="001D7814">
          <w:rPr>
            <w:rFonts w:ascii="Times New Roman" w:eastAsia="Times New Roman" w:hAnsi="Times New Roman" w:cs="Times New Roman"/>
            <w:color w:val="0000FF"/>
            <w:sz w:val="16"/>
            <w:szCs w:val="16"/>
            <w:u w:val="single"/>
          </w:rPr>
          <w:t>www.court.gov.il</w:t>
        </w:r>
      </w:hyperlink>
    </w:p>
    <w:p w:rsidR="001D7814" w:rsidRPr="001D7814" w:rsidRDefault="001D7814" w:rsidP="001D7814">
      <w:pPr>
        <w:overflowPunct w:val="0"/>
        <w:autoSpaceDE w:val="0"/>
        <w:autoSpaceDN w:val="0"/>
        <w:spacing w:after="0" w:line="240" w:lineRule="auto"/>
        <w:rPr>
          <w:rFonts w:ascii="Times New Roman" w:eastAsia="Times New Roman" w:hAnsi="Times New Roman" w:cs="Times New Roman"/>
          <w:rtl/>
        </w:rPr>
      </w:pPr>
      <w:r w:rsidRPr="001D7814">
        <w:rPr>
          <w:rFonts w:ascii="Times New Roman" w:eastAsia="Times New Roman" w:hAnsi="Times New Roman" w:cs="David" w:hint="cs"/>
          <w:sz w:val="16"/>
          <w:szCs w:val="16"/>
          <w:rtl/>
        </w:rPr>
        <w:t> </w:t>
      </w:r>
    </w:p>
    <w:p w:rsidR="009C308C" w:rsidRDefault="009C308C"/>
    <w:sectPr w:rsidR="009C308C" w:rsidSect="00F523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TUR">
    <w:altName w:val="Arial"/>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4"/>
    <w:rsid w:val="0017039B"/>
    <w:rsid w:val="001D7814"/>
    <w:rsid w:val="00242840"/>
    <w:rsid w:val="00607338"/>
    <w:rsid w:val="00913FEB"/>
    <w:rsid w:val="009C308C"/>
    <w:rsid w:val="00EE5E13"/>
    <w:rsid w:val="00F10989"/>
    <w:rsid w:val="00F523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A5928-BAEC-4D90-A164-57ADCD84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814"/>
    <w:rPr>
      <w:color w:val="0000FF"/>
      <w:u w:val="single"/>
    </w:rPr>
  </w:style>
  <w:style w:type="paragraph" w:customStyle="1" w:styleId="Ruller3">
    <w:name w:val="Ruller 3"/>
    <w:basedOn w:val="Normal"/>
    <w:rsid w:val="001D7814"/>
    <w:pPr>
      <w:overflowPunct w:val="0"/>
      <w:autoSpaceDE w:val="0"/>
      <w:autoSpaceDN w:val="0"/>
      <w:spacing w:after="0" w:line="360" w:lineRule="auto"/>
    </w:pPr>
    <w:rPr>
      <w:rFonts w:ascii="Times New Roman" w:eastAsia="Times New Roman" w:hAnsi="Times New Roman" w:cs="Times New Roman"/>
      <w:spacing w:val="10"/>
    </w:rPr>
  </w:style>
  <w:style w:type="paragraph" w:customStyle="1" w:styleId="FileNumber">
    <w:name w:val="File Number"/>
    <w:basedOn w:val="Normal"/>
    <w:rsid w:val="001D7814"/>
    <w:pPr>
      <w:overflowPunct w:val="0"/>
      <w:autoSpaceDE w:val="0"/>
      <w:autoSpaceDN w:val="0"/>
      <w:spacing w:after="0" w:line="360" w:lineRule="auto"/>
      <w:jc w:val="right"/>
    </w:pPr>
    <w:rPr>
      <w:rFonts w:ascii="Times New Roman" w:eastAsia="Times New Roman" w:hAnsi="Times New Roman" w:cs="Times New Roman"/>
      <w:sz w:val="20"/>
      <w:szCs w:val="20"/>
    </w:rPr>
  </w:style>
  <w:style w:type="paragraph" w:customStyle="1" w:styleId="DocumentHead">
    <w:name w:val="Document Head"/>
    <w:basedOn w:val="Normal"/>
    <w:rsid w:val="001D7814"/>
    <w:pPr>
      <w:overflowPunct w:val="0"/>
      <w:autoSpaceDE w:val="0"/>
      <w:autoSpaceDN w:val="0"/>
      <w:spacing w:after="0" w:line="360" w:lineRule="auto"/>
      <w:jc w:val="center"/>
    </w:pPr>
    <w:rPr>
      <w:rFonts w:ascii="Times New Roman" w:eastAsia="Times New Roman" w:hAnsi="Times New Roman" w:cs="Times New Roman"/>
      <w:spacing w:val="30"/>
      <w:sz w:val="20"/>
      <w:szCs w:val="20"/>
      <w:u w:val="single"/>
    </w:rPr>
  </w:style>
  <w:style w:type="character" w:customStyle="1" w:styleId="Ruller4">
    <w:name w:val="Ruller4 תו"/>
    <w:basedOn w:val="DefaultParagraphFont"/>
    <w:link w:val="Ruller40"/>
    <w:rsid w:val="001D7814"/>
    <w:rPr>
      <w:rFonts w:ascii="Arial TUR" w:hAnsi="Arial TUR" w:cs="Arial TUR"/>
      <w:spacing w:val="10"/>
    </w:rPr>
  </w:style>
  <w:style w:type="paragraph" w:customStyle="1" w:styleId="Ruller40">
    <w:name w:val="Ruller4"/>
    <w:basedOn w:val="Normal"/>
    <w:link w:val="Ruller4"/>
    <w:rsid w:val="001D7814"/>
    <w:pPr>
      <w:overflowPunct w:val="0"/>
      <w:autoSpaceDE w:val="0"/>
      <w:autoSpaceDN w:val="0"/>
      <w:spacing w:after="0" w:line="360" w:lineRule="auto"/>
      <w:jc w:val="both"/>
    </w:pPr>
    <w:rPr>
      <w:rFonts w:ascii="Arial TUR" w:hAnsi="Arial TUR" w:cs="Arial TUR"/>
      <w:spacing w:val="10"/>
    </w:rPr>
  </w:style>
  <w:style w:type="paragraph" w:customStyle="1" w:styleId="Ruller5">
    <w:name w:val="Ruller5"/>
    <w:basedOn w:val="Normal"/>
    <w:rsid w:val="001D7814"/>
    <w:pPr>
      <w:overflowPunct w:val="0"/>
      <w:autoSpaceDE w:val="0"/>
      <w:autoSpaceDN w:val="0"/>
      <w:spacing w:after="0" w:line="240" w:lineRule="auto"/>
      <w:ind w:left="1642" w:right="1282"/>
      <w:jc w:val="both"/>
    </w:pPr>
    <w:rPr>
      <w:rFonts w:ascii="Arial TUR" w:eastAsia="Times New Roman" w:hAnsi="Arial TUR" w:cs="Arial TUR"/>
      <w:spacing w:val="10"/>
    </w:rPr>
  </w:style>
  <w:style w:type="paragraph" w:customStyle="1" w:styleId="BodyRuller">
    <w:name w:val="Body Ruller"/>
    <w:basedOn w:val="Normal"/>
    <w:rsid w:val="001D7814"/>
    <w:pPr>
      <w:overflowPunct w:val="0"/>
      <w:autoSpaceDE w:val="0"/>
      <w:autoSpaceDN w:val="0"/>
      <w:spacing w:after="0" w:line="240" w:lineRule="auto"/>
    </w:pPr>
    <w:rPr>
      <w:rFonts w:ascii="Times New Roman" w:eastAsia="Times New Roman" w:hAnsi="Times New Roman" w:cs="Times New Roman"/>
    </w:rPr>
  </w:style>
  <w:style w:type="paragraph" w:customStyle="1" w:styleId="Ruller38">
    <w:name w:val="סגנון Ruller 3 + (מורכב) ‏8 נק"/>
    <w:basedOn w:val="Normal"/>
    <w:rsid w:val="001D7814"/>
    <w:pPr>
      <w:overflowPunct w:val="0"/>
      <w:autoSpaceDE w:val="0"/>
      <w:autoSpaceDN w:val="0"/>
      <w:spacing w:after="0" w:line="240" w:lineRule="auto"/>
    </w:pPr>
    <w:rPr>
      <w:rFonts w:ascii="Times New Roman" w:eastAsia="Times New Roman" w:hAnsi="Times New Roman" w:cs="Times New Roman"/>
    </w:rPr>
  </w:style>
  <w:style w:type="paragraph" w:customStyle="1" w:styleId="FileNumber0">
    <w:name w:val="סגנון File Number + ימין"/>
    <w:basedOn w:val="Normal"/>
    <w:rsid w:val="001D7814"/>
    <w:pPr>
      <w:overflowPunct w:val="0"/>
      <w:autoSpaceDE w:val="0"/>
      <w:autoSpaceDN w:val="0"/>
      <w:spacing w:after="0" w:line="360" w:lineRule="auto"/>
    </w:pPr>
    <w:rPr>
      <w:rFonts w:ascii="Times New Roman" w:eastAsia="Times New Roman" w:hAnsi="Times New Roman" w:cs="Times New Roman"/>
      <w:sz w:val="20"/>
      <w:szCs w:val="20"/>
    </w:rPr>
  </w:style>
  <w:style w:type="paragraph" w:customStyle="1" w:styleId="BODYVERDICT">
    <w:name w:val="BODY VERDICT"/>
    <w:basedOn w:val="Normal"/>
    <w:rsid w:val="001D7814"/>
    <w:pPr>
      <w:overflowPunct w:val="0"/>
      <w:autoSpaceDE w:val="0"/>
      <w:autoSpaceDN w:val="0"/>
      <w:spacing w:after="0" w:line="240" w:lineRule="auto"/>
    </w:pPr>
    <w:rPr>
      <w:rFonts w:ascii="Times New Roman" w:eastAsia="Times New Roman" w:hAnsi="Times New Roman" w:cs="Times New Roman"/>
      <w:spacing w:val="10"/>
    </w:rPr>
  </w:style>
  <w:style w:type="paragraph" w:customStyle="1" w:styleId="Ruller41">
    <w:name w:val="Ruller4 אלפביתי"/>
    <w:basedOn w:val="Normal"/>
    <w:rsid w:val="001D7814"/>
    <w:pPr>
      <w:overflowPunct w:val="0"/>
      <w:autoSpaceDE w:val="0"/>
      <w:autoSpaceDN w:val="0"/>
      <w:spacing w:after="0" w:line="360" w:lineRule="auto"/>
      <w:jc w:val="both"/>
    </w:pPr>
    <w:rPr>
      <w:rFonts w:ascii="Arial TUR" w:eastAsia="Times New Roman" w:hAnsi="Arial TUR" w:cs="Arial TU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t.gov.il" TargetMode="Externa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C52D1D1208244B710AB6936490628" ma:contentTypeVersion="16" ma:contentTypeDescription="Create a new document." ma:contentTypeScope="" ma:versionID="99179de5ace1fb3710069e48f1251869">
  <xsd:schema xmlns:xsd="http://www.w3.org/2001/XMLSchema" xmlns:xs="http://www.w3.org/2001/XMLSchema" xmlns:p="http://schemas.microsoft.com/office/2006/metadata/properties" xmlns:ns2="1d955b5a-f623-46d9-8199-4876af12a054" xmlns:ns3="7a4a36dc-db8c-46af-b1d9-4eaaa8b55104" targetNamespace="http://schemas.microsoft.com/office/2006/metadata/properties" ma:root="true" ma:fieldsID="dbc6038ca605401fbaf826df728342b2" ns2:_="" ns3:_="">
    <xsd:import namespace="1d955b5a-f623-46d9-8199-4876af12a054"/>
    <xsd:import namespace="7a4a36dc-db8c-46af-b1d9-4eaaa8b551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55b5a-f623-46d9-8199-4876af12a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69874f-f350-476e-af63-ca02846facd4}" ma:internalName="TaxCatchAll" ma:showField="CatchAllData" ma:web="1d955b5a-f623-46d9-8199-4876af12a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4a36dc-db8c-46af-b1d9-4eaaa8b551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53a7b-36c8-4997-8c49-fa9be16374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4a36dc-db8c-46af-b1d9-4eaaa8b55104">
      <Terms xmlns="http://schemas.microsoft.com/office/infopath/2007/PartnerControls"/>
    </lcf76f155ced4ddcb4097134ff3c332f>
    <TaxCatchAll xmlns="1d955b5a-f623-46d9-8199-4876af12a054" xsi:nil="true"/>
  </documentManagement>
</p:properties>
</file>

<file path=customXml/itemProps1.xml><?xml version="1.0" encoding="utf-8"?>
<ds:datastoreItem xmlns:ds="http://schemas.openxmlformats.org/officeDocument/2006/customXml" ds:itemID="{F39555D1-2077-4598-872C-442A70A60D13}"/>
</file>

<file path=customXml/itemProps2.xml><?xml version="1.0" encoding="utf-8"?>
<ds:datastoreItem xmlns:ds="http://schemas.openxmlformats.org/officeDocument/2006/customXml" ds:itemID="{343A414E-2A00-499C-894B-592B2652A5F1}"/>
</file>

<file path=customXml/itemProps3.xml><?xml version="1.0" encoding="utf-8"?>
<ds:datastoreItem xmlns:ds="http://schemas.openxmlformats.org/officeDocument/2006/customXml" ds:itemID="{CBA567A0-356B-4EC7-877D-0ED86E880932}"/>
</file>

<file path=docProps/app.xml><?xml version="1.0" encoding="utf-8"?>
<Properties xmlns="http://schemas.openxmlformats.org/officeDocument/2006/extended-properties" xmlns:vt="http://schemas.openxmlformats.org/officeDocument/2006/docPropsVTypes">
  <Template>Normal</Template>
  <TotalTime>33</TotalTime>
  <Pages>14</Pages>
  <Words>3919</Words>
  <Characters>22339</Characters>
  <Application>Microsoft Office Word</Application>
  <DocSecurity>0</DocSecurity>
  <Lines>186</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 Erez. Likhovski</dc:creator>
  <cp:lastModifiedBy>Orly  Erez. Likhovski</cp:lastModifiedBy>
  <cp:revision>5</cp:revision>
  <dcterms:created xsi:type="dcterms:W3CDTF">2016-02-11T16:45:00Z</dcterms:created>
  <dcterms:modified xsi:type="dcterms:W3CDTF">2020-05-13T14:43:00Z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0x010100A76C52D1D1208244B710AB6936490628</vt:lpwstr>
  </property>
</Properties>
</file>