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372" w:type="dxa"/>
        <w:tblLook w:val="0000" w:firstRow="0" w:lastRow="0" w:firstColumn="0" w:lastColumn="0" w:noHBand="0" w:noVBand="0"/>
      </w:tblPr>
      <w:tblGrid>
        <w:gridCol w:w="9"/>
        <w:gridCol w:w="8354"/>
        <w:gridCol w:w="9"/>
      </w:tblGrid>
      <w:tr w:rsidR="00036227" w:rsidTr="00384A7D">
        <w:trPr>
          <w:gridBefore w:val="1"/>
          <w:wBefore w:w="9" w:type="dxa"/>
        </w:trPr>
        <w:tc>
          <w:tcPr>
            <w:tcW w:w="8363" w:type="dxa"/>
            <w:gridSpan w:val="2"/>
          </w:tcPr>
          <w:p w:rsidR="00916FF8" w:rsidRPr="00624A42" w:rsidRDefault="00517E94" w:rsidP="00504C13">
            <w:pPr>
              <w:pStyle w:val="FileNumber0"/>
              <w:spacing w:line="240" w:lineRule="auto"/>
              <w:rPr>
                <w:sz w:val="28"/>
                <w:u w:val="single"/>
                <w:rtl/>
              </w:rPr>
            </w:pPr>
            <w:bookmarkStart w:id="0" w:name="_GoBack"/>
            <w:bookmarkEnd w:id="0"/>
            <w:r>
              <w:rPr>
                <w:u w:val="single"/>
                <w:rtl/>
              </w:rPr>
              <w:t>בבית המשפט העליון בשבתו כבית משפט גבוה לצדק</w:t>
            </w:r>
          </w:p>
        </w:tc>
      </w:tr>
      <w:tr w:rsidR="00036227" w:rsidTr="00384A7D">
        <w:trPr>
          <w:gridAfter w:val="1"/>
          <w:wAfter w:w="9" w:type="dxa"/>
          <w:trHeight w:val="342"/>
        </w:trPr>
        <w:tc>
          <w:tcPr>
            <w:tcW w:w="8363" w:type="dxa"/>
            <w:gridSpan w:val="2"/>
          </w:tcPr>
          <w:p w:rsidR="00916FF8" w:rsidRPr="00810894" w:rsidRDefault="00517E94" w:rsidP="00504C13">
            <w:pPr>
              <w:pStyle w:val="FileNumber"/>
              <w:spacing w:line="240" w:lineRule="auto"/>
              <w:rPr>
                <w:sz w:val="28"/>
                <w:szCs w:val="28"/>
              </w:rPr>
            </w:pPr>
            <w:bookmarkStart w:id="1" w:name="casename_body"/>
            <w:r>
              <w:rPr>
                <w:sz w:val="28"/>
                <w:szCs w:val="28"/>
                <w:rtl/>
              </w:rPr>
              <w:t>בג"ץ  3775/20</w:t>
            </w:r>
          </w:p>
        </w:tc>
      </w:tr>
      <w:bookmarkEnd w:id="1"/>
    </w:tbl>
    <w:p w:rsidR="00916FF8" w:rsidRDefault="00916FF8" w:rsidP="00504C13">
      <w:pPr>
        <w:jc w:val="right"/>
        <w:rPr>
          <w:rFonts w:cs="Miriam"/>
          <w:b/>
          <w:bCs/>
          <w:u w:val="single"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036227" w:rsidTr="00EC23AC">
        <w:trPr>
          <w:trHeight w:val="287"/>
        </w:trPr>
        <w:tc>
          <w:tcPr>
            <w:tcW w:w="3261" w:type="dxa"/>
          </w:tcPr>
          <w:p w:rsidR="00036227" w:rsidRDefault="00CB7600" w:rsidP="00504C13">
            <w:pPr>
              <w:pStyle w:val="BodyRuller"/>
              <w:rPr>
                <w:rFonts w:cs="Miriam"/>
                <w:b/>
                <w:bCs/>
                <w:u w:val="single"/>
              </w:rPr>
            </w:pPr>
            <w:r>
              <w:rPr>
                <w:rFonts w:hint="cs"/>
                <w:rtl/>
              </w:rPr>
              <w:t>ל</w:t>
            </w:r>
            <w:r w:rsidR="00036227">
              <w:rPr>
                <w:rtl/>
              </w:rPr>
              <w:t>פני:</w:t>
            </w:r>
            <w:r w:rsidR="00036227">
              <w:rPr>
                <w:rtl/>
              </w:rPr>
              <w:tab/>
            </w:r>
          </w:p>
        </w:tc>
        <w:tc>
          <w:tcPr>
            <w:tcW w:w="5239" w:type="dxa"/>
          </w:tcPr>
          <w:p w:rsidR="00036227" w:rsidRDefault="00517E94" w:rsidP="00504C13">
            <w:pPr>
              <w:pStyle w:val="BodyRuller"/>
            </w:pPr>
            <w:r>
              <w:rPr>
                <w:rtl/>
              </w:rPr>
              <w:t>כבוד השופט י' עמית</w:t>
            </w:r>
          </w:p>
        </w:tc>
      </w:tr>
      <w:tr w:rsidR="00517E94" w:rsidTr="00EC23AC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כבוד השופטת ע' ברון</w:t>
            </w:r>
          </w:p>
        </w:tc>
      </w:tr>
      <w:tr w:rsidR="00517E94" w:rsidTr="00EC23AC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כבוד השופטת י' וילנר</w:t>
            </w:r>
          </w:p>
        </w:tc>
      </w:tr>
    </w:tbl>
    <w:p w:rsidR="00916FF8" w:rsidRDefault="00916FF8" w:rsidP="00504C13">
      <w:pPr>
        <w:pStyle w:val="Ruller3"/>
        <w:spacing w:line="240" w:lineRule="auto"/>
        <w:rPr>
          <w:rFonts w:cs="Miriam"/>
          <w:b/>
          <w:bCs/>
          <w:u w:val="single"/>
          <w:rtl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D00CB7" w:rsidTr="00DD6306">
        <w:trPr>
          <w:trHeight w:val="287"/>
        </w:trPr>
        <w:tc>
          <w:tcPr>
            <w:tcW w:w="3261" w:type="dxa"/>
          </w:tcPr>
          <w:p w:rsidR="00D00CB7" w:rsidRPr="00E75223" w:rsidRDefault="0056591C" w:rsidP="00504C13">
            <w:pPr>
              <w:pStyle w:val="BodyRuller"/>
              <w:rPr>
                <w:rFonts w:ascii="David" w:hAnsi="David"/>
              </w:rPr>
            </w:pPr>
            <w:r>
              <w:rPr>
                <w:rFonts w:ascii="David" w:hAnsi="David"/>
                <w:rtl/>
              </w:rPr>
              <w:t>העותר</w:t>
            </w:r>
            <w:r>
              <w:rPr>
                <w:rFonts w:ascii="David" w:hAnsi="David" w:hint="cs"/>
                <w:rtl/>
              </w:rPr>
              <w:t>ות</w:t>
            </w:r>
            <w:r w:rsidR="00517E94">
              <w:rPr>
                <w:rFonts w:ascii="David" w:hAnsi="David"/>
                <w:rtl/>
              </w:rPr>
              <w:t>:</w:t>
            </w:r>
          </w:p>
        </w:tc>
        <w:tc>
          <w:tcPr>
            <w:tcW w:w="5239" w:type="dxa"/>
          </w:tcPr>
          <w:p w:rsidR="00D00CB7" w:rsidRDefault="00517E94" w:rsidP="00504C13">
            <w:pPr>
              <w:pStyle w:val="BodyRuller"/>
            </w:pPr>
            <w:r>
              <w:rPr>
                <w:rtl/>
              </w:rPr>
              <w:t>1. התנועה הרפורמית - יהדות מתקדמת בישראל</w:t>
            </w:r>
          </w:p>
        </w:tc>
      </w:tr>
      <w:tr w:rsidR="00517E94" w:rsidTr="00DD6306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2. נשות הכותל</w:t>
            </w:r>
          </w:p>
        </w:tc>
      </w:tr>
    </w:tbl>
    <w:p w:rsidR="00D00CB7" w:rsidRDefault="00D00CB7" w:rsidP="00504C13">
      <w:pPr>
        <w:pStyle w:val="Ruller3"/>
        <w:spacing w:line="240" w:lineRule="auto"/>
      </w:pPr>
    </w:p>
    <w:tbl>
      <w:tblPr>
        <w:bidiVisual/>
        <w:tblW w:w="8363" w:type="dxa"/>
        <w:tblLook w:val="0000" w:firstRow="0" w:lastRow="0" w:firstColumn="0" w:lastColumn="0" w:noHBand="0" w:noVBand="0"/>
      </w:tblPr>
      <w:tblGrid>
        <w:gridCol w:w="3222"/>
        <w:gridCol w:w="5141"/>
      </w:tblGrid>
      <w:tr w:rsidR="00036227" w:rsidTr="0039709B">
        <w:tc>
          <w:tcPr>
            <w:tcW w:w="3284" w:type="dxa"/>
          </w:tcPr>
          <w:p w:rsidR="00036227" w:rsidRDefault="00036227" w:rsidP="00504C13">
            <w:pPr>
              <w:pStyle w:val="BodyRuller"/>
            </w:pPr>
          </w:p>
        </w:tc>
        <w:tc>
          <w:tcPr>
            <w:tcW w:w="5238" w:type="dxa"/>
          </w:tcPr>
          <w:p w:rsidR="00036227" w:rsidRDefault="00036227" w:rsidP="00504C13">
            <w:pPr>
              <w:pStyle w:val="BodyRuller"/>
            </w:pPr>
            <w:r>
              <w:rPr>
                <w:rFonts w:hint="cs"/>
                <w:rtl/>
              </w:rPr>
              <w:t>נ</w:t>
            </w:r>
            <w:r>
              <w:t xml:space="preserve">  </w:t>
            </w:r>
            <w:r>
              <w:rPr>
                <w:rFonts w:hint="cs"/>
                <w:rtl/>
              </w:rPr>
              <w:t>ג</w:t>
            </w:r>
            <w:r>
              <w:t xml:space="preserve">  </w:t>
            </w:r>
            <w:r>
              <w:rPr>
                <w:rFonts w:hint="cs"/>
                <w:rtl/>
              </w:rPr>
              <w:t>ד</w:t>
            </w:r>
          </w:p>
        </w:tc>
      </w:tr>
    </w:tbl>
    <w:p w:rsidR="00916FF8" w:rsidRDefault="00916FF8" w:rsidP="00504C13">
      <w:pPr>
        <w:pStyle w:val="Ruller3"/>
        <w:spacing w:line="240" w:lineRule="auto"/>
        <w:rPr>
          <w:rtl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83345F" w:rsidTr="00DD6306">
        <w:trPr>
          <w:trHeight w:val="287"/>
        </w:trPr>
        <w:tc>
          <w:tcPr>
            <w:tcW w:w="3261" w:type="dxa"/>
          </w:tcPr>
          <w:p w:rsidR="0083345F" w:rsidRPr="00E75223" w:rsidRDefault="00517E94" w:rsidP="00504C13">
            <w:pPr>
              <w:pStyle w:val="BodyRuller"/>
              <w:rPr>
                <w:rFonts w:ascii="David" w:hAnsi="David"/>
              </w:rPr>
            </w:pPr>
            <w:r>
              <w:rPr>
                <w:rFonts w:ascii="David" w:hAnsi="David"/>
                <w:rtl/>
              </w:rPr>
              <w:t>המשיבים:</w:t>
            </w:r>
          </w:p>
        </w:tc>
        <w:tc>
          <w:tcPr>
            <w:tcW w:w="5239" w:type="dxa"/>
          </w:tcPr>
          <w:p w:rsidR="0083345F" w:rsidRDefault="00517E94" w:rsidP="00504C13">
            <w:pPr>
              <w:pStyle w:val="BodyRuller"/>
            </w:pPr>
            <w:r>
              <w:rPr>
                <w:rtl/>
              </w:rPr>
              <w:t>1. נציב שירות המדינה</w:t>
            </w:r>
          </w:p>
        </w:tc>
      </w:tr>
      <w:tr w:rsidR="00517E94" w:rsidTr="00DD6306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2. היועץ המשפטי לממשלה</w:t>
            </w:r>
          </w:p>
        </w:tc>
      </w:tr>
      <w:tr w:rsidR="00517E94" w:rsidTr="00DD6306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3. מנכ"ל המשרד לשירותי דת</w:t>
            </w:r>
          </w:p>
        </w:tc>
      </w:tr>
      <w:tr w:rsidR="00517E94" w:rsidTr="00DD6306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4. יו"ר המועצה הדתית ירושלים</w:t>
            </w:r>
          </w:p>
        </w:tc>
      </w:tr>
      <w:tr w:rsidR="00517E94" w:rsidTr="00DD6306">
        <w:trPr>
          <w:trHeight w:val="287"/>
        </w:trPr>
        <w:tc>
          <w:tcPr>
            <w:tcW w:w="3261" w:type="dxa"/>
          </w:tcPr>
          <w:p w:rsidR="00517E94" w:rsidRDefault="00517E94" w:rsidP="00504C13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517E94" w:rsidRDefault="00517E94" w:rsidP="00504C13">
            <w:pPr>
              <w:pStyle w:val="BodyRuller"/>
              <w:rPr>
                <w:rtl/>
              </w:rPr>
            </w:pPr>
            <w:r>
              <w:rPr>
                <w:rtl/>
              </w:rPr>
              <w:t>5. הרב דוד יוסף</w:t>
            </w:r>
          </w:p>
        </w:tc>
      </w:tr>
    </w:tbl>
    <w:p w:rsidR="0083345F" w:rsidRDefault="0083345F" w:rsidP="00504C13">
      <w:pPr>
        <w:pStyle w:val="Ruller3"/>
        <w:spacing w:line="240" w:lineRule="auto"/>
      </w:pPr>
    </w:p>
    <w:tbl>
      <w:tblPr>
        <w:bidiVisual/>
        <w:tblW w:w="0" w:type="auto"/>
        <w:tblInd w:w="3209" w:type="dxa"/>
        <w:tblLook w:val="0000" w:firstRow="0" w:lastRow="0" w:firstColumn="0" w:lastColumn="0" w:noHBand="0" w:noVBand="0"/>
      </w:tblPr>
      <w:tblGrid>
        <w:gridCol w:w="5103"/>
      </w:tblGrid>
      <w:tr w:rsidR="00036227" w:rsidTr="00CA1444">
        <w:tc>
          <w:tcPr>
            <w:tcW w:w="5103" w:type="dxa"/>
          </w:tcPr>
          <w:p w:rsidR="00916FF8" w:rsidRPr="00265F6E" w:rsidRDefault="00384A7D" w:rsidP="00504C13">
            <w:pPr>
              <w:pStyle w:val="BodyRull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עתירה למתן צו על תנאי</w:t>
            </w:r>
          </w:p>
        </w:tc>
      </w:tr>
    </w:tbl>
    <w:p w:rsidR="00916FF8" w:rsidRDefault="00916FF8" w:rsidP="00504C13">
      <w:pPr>
        <w:pStyle w:val="Ruller3"/>
        <w:spacing w:line="240" w:lineRule="auto"/>
        <w:rPr>
          <w:rtl/>
        </w:rPr>
      </w:pPr>
    </w:p>
    <w:tbl>
      <w:tblPr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0"/>
        <w:gridCol w:w="2423"/>
        <w:gridCol w:w="2710"/>
      </w:tblGrid>
      <w:tr w:rsidR="008C2F11" w:rsidTr="00384A7D"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8C2F11" w:rsidRPr="00265F6E" w:rsidRDefault="008C2F11" w:rsidP="00504C13">
            <w:pPr>
              <w:pStyle w:val="BodyRuller"/>
              <w:rPr>
                <w:sz w:val="24"/>
                <w:szCs w:val="24"/>
              </w:rPr>
            </w:pPr>
            <w:r w:rsidRPr="00265F6E">
              <w:rPr>
                <w:sz w:val="24"/>
                <w:szCs w:val="24"/>
                <w:rtl/>
              </w:rPr>
              <w:t>תאריך הישיבה: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8C2F11" w:rsidRDefault="00517E94" w:rsidP="00504C13">
            <w:pPr>
              <w:pStyle w:val="BodyRuller"/>
              <w:rPr>
                <w:rtl/>
              </w:rPr>
            </w:pPr>
            <w:r>
              <w:rPr>
                <w:sz w:val="24"/>
                <w:szCs w:val="24"/>
                <w:rtl/>
              </w:rPr>
              <w:t xml:space="preserve">כ"א באייר </w:t>
            </w:r>
            <w:proofErr w:type="spellStart"/>
            <w:r>
              <w:rPr>
                <w:sz w:val="24"/>
                <w:szCs w:val="24"/>
                <w:rtl/>
              </w:rPr>
              <w:t>התשפ"א</w:t>
            </w:r>
            <w:proofErr w:type="spellEnd"/>
            <w:r w:rsidR="008C2F11">
              <w:t xml:space="preserve">      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8C2F11" w:rsidRDefault="00517E94" w:rsidP="00504C13">
            <w:pPr>
              <w:pStyle w:val="BodyRuller"/>
              <w:rPr>
                <w:sz w:val="24"/>
                <w:szCs w:val="24"/>
                <w:rtl/>
              </w:rPr>
            </w:pPr>
            <w:r>
              <w:t>(03.05.2021)</w:t>
            </w:r>
            <w:r w:rsidR="00200D6B">
              <w:t xml:space="preserve"> </w:t>
            </w:r>
          </w:p>
        </w:tc>
      </w:tr>
    </w:tbl>
    <w:p w:rsidR="00916FF8" w:rsidRDefault="00916FF8" w:rsidP="00504C13">
      <w:pPr>
        <w:pStyle w:val="Ruller3"/>
        <w:spacing w:line="240" w:lineRule="auto"/>
        <w:rPr>
          <w:rtl/>
        </w:rPr>
      </w:pPr>
    </w:p>
    <w:tbl>
      <w:tblPr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5149"/>
      </w:tblGrid>
      <w:tr w:rsidR="00036227" w:rsidTr="00384A7D"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517E94" w:rsidP="00467987">
            <w:pPr>
              <w:pStyle w:val="BodyRuller"/>
            </w:pPr>
            <w:r>
              <w:rPr>
                <w:rtl/>
              </w:rPr>
              <w:t>בשם העותר</w:t>
            </w:r>
            <w:r w:rsidR="00467987">
              <w:rPr>
                <w:rFonts w:hint="cs"/>
                <w:rtl/>
              </w:rPr>
              <w:t>ות</w:t>
            </w:r>
            <w:r>
              <w:rPr>
                <w:rtl/>
              </w:rPr>
              <w:t>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384A7D" w:rsidP="00504C13">
            <w:pPr>
              <w:pStyle w:val="BodyRuller"/>
            </w:pPr>
            <w:r>
              <w:rPr>
                <w:rFonts w:hint="cs"/>
                <w:rtl/>
              </w:rPr>
              <w:t>עו"ד אורלי ארז-</w:t>
            </w:r>
            <w:proofErr w:type="spellStart"/>
            <w:r>
              <w:rPr>
                <w:rFonts w:hint="cs"/>
                <w:rtl/>
              </w:rPr>
              <w:t>לחובסקי</w:t>
            </w:r>
            <w:proofErr w:type="spellEnd"/>
            <w:r>
              <w:rPr>
                <w:rFonts w:hint="cs"/>
                <w:rtl/>
              </w:rPr>
              <w:t>, עו"ד מיטל ארבל</w:t>
            </w:r>
          </w:p>
        </w:tc>
      </w:tr>
      <w:tr w:rsidR="00517E94" w:rsidTr="00384A7D"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517E94" w:rsidRPr="00384A7D" w:rsidRDefault="00384A7D" w:rsidP="00504C13">
            <w:pPr>
              <w:pStyle w:val="BodyRuller"/>
            </w:pPr>
            <w:r>
              <w:rPr>
                <w:rFonts w:hint="cs"/>
                <w:rtl/>
              </w:rPr>
              <w:t>בשם המשיבים 3-1: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517E94" w:rsidRDefault="00384A7D" w:rsidP="00504C13">
            <w:pPr>
              <w:pStyle w:val="BodyRuller"/>
              <w:rPr>
                <w:rtl/>
              </w:rPr>
            </w:pPr>
            <w:r>
              <w:rPr>
                <w:rFonts w:hint="cs"/>
                <w:rtl/>
              </w:rPr>
              <w:t>עו"ד דניאל מארקס, עו"ד יונתן קרמר</w:t>
            </w:r>
          </w:p>
        </w:tc>
      </w:tr>
      <w:tr w:rsidR="00384A7D" w:rsidTr="00384A7D"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384A7D" w:rsidRPr="00384A7D" w:rsidRDefault="00384A7D" w:rsidP="00504C13">
            <w:pPr>
              <w:pStyle w:val="BodyRuller"/>
              <w:rPr>
                <w:rtl/>
              </w:rPr>
            </w:pPr>
            <w:r>
              <w:rPr>
                <w:rFonts w:hint="cs"/>
                <w:rtl/>
              </w:rPr>
              <w:t>בשם המשיב 4: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384A7D" w:rsidRDefault="00384A7D" w:rsidP="00504C13">
            <w:pPr>
              <w:pStyle w:val="BodyRuller"/>
              <w:rPr>
                <w:rtl/>
              </w:rPr>
            </w:pPr>
            <w:r>
              <w:rPr>
                <w:rFonts w:hint="cs"/>
                <w:rtl/>
              </w:rPr>
              <w:t xml:space="preserve">עו"ד דרור </w:t>
            </w:r>
            <w:proofErr w:type="spellStart"/>
            <w:r>
              <w:rPr>
                <w:rFonts w:hint="cs"/>
                <w:rtl/>
              </w:rPr>
              <w:t>אקסלרד</w:t>
            </w:r>
            <w:proofErr w:type="spellEnd"/>
            <w:r>
              <w:rPr>
                <w:rFonts w:hint="cs"/>
                <w:rtl/>
              </w:rPr>
              <w:t xml:space="preserve">, עו"ד אשר </w:t>
            </w:r>
            <w:proofErr w:type="spellStart"/>
            <w:r>
              <w:rPr>
                <w:rFonts w:hint="cs"/>
                <w:rtl/>
              </w:rPr>
              <w:t>אקסלרד</w:t>
            </w:r>
            <w:proofErr w:type="spellEnd"/>
          </w:p>
        </w:tc>
      </w:tr>
    </w:tbl>
    <w:p w:rsidR="00916FF8" w:rsidRDefault="00916FF8" w:rsidP="00504C13">
      <w:pPr>
        <w:pStyle w:val="Ruller3"/>
        <w:spacing w:line="240" w:lineRule="auto"/>
        <w:rPr>
          <w:rtl/>
        </w:rPr>
      </w:pPr>
    </w:p>
    <w:p w:rsidR="00384A7D" w:rsidRDefault="00384A7D" w:rsidP="00504C13">
      <w:pPr>
        <w:pStyle w:val="Ruller3"/>
        <w:spacing w:line="240" w:lineRule="auto"/>
        <w:rPr>
          <w:rtl/>
        </w:rPr>
      </w:pPr>
    </w:p>
    <w:tbl>
      <w:tblPr>
        <w:bidiVisual/>
        <w:tblW w:w="8363" w:type="dxa"/>
        <w:tblLook w:val="0000" w:firstRow="0" w:lastRow="0" w:firstColumn="0" w:lastColumn="0" w:noHBand="0" w:noVBand="0"/>
      </w:tblPr>
      <w:tblGrid>
        <w:gridCol w:w="8363"/>
      </w:tblGrid>
      <w:tr w:rsidR="00036227" w:rsidTr="00384A7D">
        <w:tc>
          <w:tcPr>
            <w:tcW w:w="8363" w:type="dxa"/>
          </w:tcPr>
          <w:p w:rsidR="00916FF8" w:rsidRDefault="00517E94" w:rsidP="00504C13">
            <w:pPr>
              <w:pStyle w:val="DocumentHead"/>
              <w:spacing w:line="240" w:lineRule="auto"/>
            </w:pPr>
            <w:bookmarkStart w:id="2" w:name="secretary"/>
            <w:bookmarkStart w:id="3" w:name="BeginProtocol"/>
            <w:bookmarkEnd w:id="2"/>
            <w:bookmarkEnd w:id="3"/>
            <w:r>
              <w:rPr>
                <w:rtl/>
              </w:rPr>
              <w:t>פסק-דין</w:t>
            </w:r>
          </w:p>
        </w:tc>
      </w:tr>
    </w:tbl>
    <w:p w:rsidR="0065522F" w:rsidRDefault="0065522F" w:rsidP="00384A7D">
      <w:pPr>
        <w:pStyle w:val="Ruller4"/>
        <w:rPr>
          <w:rtl/>
        </w:rPr>
      </w:pPr>
    </w:p>
    <w:p w:rsidR="00384A7D" w:rsidRDefault="00384A7D" w:rsidP="00300044">
      <w:pPr>
        <w:pStyle w:val="Ruller4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 xml:space="preserve">בעתירה שלפנינו התבקש בית המשפט להורות למשיבים 4-1 </w:t>
      </w:r>
      <w:r w:rsidR="00300044">
        <w:rPr>
          <w:rFonts w:hint="cs"/>
          <w:rtl/>
        </w:rPr>
        <w:t xml:space="preserve">(להלן: </w:t>
      </w:r>
      <w:r w:rsidR="00300044" w:rsidRPr="00300044">
        <w:rPr>
          <w:rFonts w:ascii="Century" w:hAnsi="Century" w:cs="Miriam" w:hint="cs"/>
          <w:b/>
          <w:spacing w:val="0"/>
          <w:szCs w:val="24"/>
          <w:rtl/>
        </w:rPr>
        <w:t>המשיבים</w:t>
      </w:r>
      <w:r w:rsidR="00300044">
        <w:rPr>
          <w:rFonts w:hint="cs"/>
          <w:rtl/>
        </w:rPr>
        <w:t xml:space="preserve">) </w:t>
      </w:r>
      <w:r w:rsidR="00EA1A80">
        <w:rPr>
          <w:rFonts w:hint="cs"/>
          <w:rtl/>
        </w:rPr>
        <w:t>להעמיד את המשיב 5 לדי</w:t>
      </w:r>
      <w:r>
        <w:rPr>
          <w:rFonts w:hint="cs"/>
          <w:rtl/>
        </w:rPr>
        <w:t>ן משמעתי בגין מעשים והתבטאויות שלו, לאורך מספר ש</w:t>
      </w:r>
      <w:r w:rsidR="00300044">
        <w:rPr>
          <w:rFonts w:hint="cs"/>
          <w:rtl/>
        </w:rPr>
        <w:t>נים</w:t>
      </w:r>
      <w:r>
        <w:rPr>
          <w:rFonts w:hint="cs"/>
          <w:rtl/>
        </w:rPr>
        <w:t xml:space="preserve">, שעניינם </w:t>
      </w:r>
      <w:r w:rsidR="00300044">
        <w:rPr>
          <w:rFonts w:hint="cs"/>
          <w:rtl/>
        </w:rPr>
        <w:t>ב</w:t>
      </w:r>
      <w:r>
        <w:rPr>
          <w:rFonts w:hint="cs"/>
          <w:rtl/>
        </w:rPr>
        <w:t>דברים חריפים שהטיח כנגד התנועה הרפורמית, ו</w:t>
      </w:r>
      <w:r w:rsidR="00300044">
        <w:rPr>
          <w:rFonts w:hint="cs"/>
          <w:rtl/>
        </w:rPr>
        <w:t>ב</w:t>
      </w:r>
      <w:r>
        <w:rPr>
          <w:rFonts w:hint="cs"/>
          <w:rtl/>
        </w:rPr>
        <w:t>קריאות להצביע בבחירות עבור תנועת ש"ס.</w:t>
      </w:r>
    </w:p>
    <w:p w:rsidR="00384A7D" w:rsidRDefault="00384A7D" w:rsidP="00384A7D">
      <w:pPr>
        <w:pStyle w:val="Ruller4"/>
        <w:rPr>
          <w:rtl/>
        </w:rPr>
      </w:pPr>
    </w:p>
    <w:p w:rsidR="00384A7D" w:rsidRDefault="00384A7D" w:rsidP="00300044">
      <w:pPr>
        <w:pStyle w:val="Ruller4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בעקבות הגשת העתירה הודיע המשיב 5 שהוא פורש לגמלאות מתפקידו כרב שכונת הר-נוף</w:t>
      </w:r>
      <w:r w:rsidR="00300044">
        <w:rPr>
          <w:rFonts w:hint="cs"/>
          <w:rtl/>
        </w:rPr>
        <w:t xml:space="preserve">. </w:t>
      </w:r>
      <w:r>
        <w:rPr>
          <w:rFonts w:hint="cs"/>
          <w:rtl/>
        </w:rPr>
        <w:t>משכך</w:t>
      </w:r>
      <w:r w:rsidR="00300044">
        <w:rPr>
          <w:rFonts w:hint="cs"/>
          <w:rtl/>
        </w:rPr>
        <w:t>,</w:t>
      </w:r>
      <w:r>
        <w:rPr>
          <w:rFonts w:hint="cs"/>
          <w:rtl/>
        </w:rPr>
        <w:t xml:space="preserve"> אנו סבורים שבנסיבות אלה אין מקום להתערב בהחלטה של המשיבים שלא לנקוט בצעדים משמעתיים כנגד המשיב 5</w:t>
      </w:r>
      <w:r w:rsidR="00300044">
        <w:rPr>
          <w:rFonts w:hint="cs"/>
          <w:rtl/>
        </w:rPr>
        <w:t>.</w:t>
      </w:r>
      <w:r>
        <w:rPr>
          <w:rFonts w:hint="cs"/>
          <w:rtl/>
        </w:rPr>
        <w:t xml:space="preserve"> מה עוד</w:t>
      </w:r>
      <w:r w:rsidR="00300044">
        <w:rPr>
          <w:rFonts w:hint="cs"/>
          <w:rtl/>
        </w:rPr>
        <w:t>,</w:t>
      </w:r>
      <w:r>
        <w:rPr>
          <w:rFonts w:hint="cs"/>
          <w:rtl/>
        </w:rPr>
        <w:t xml:space="preserve"> שאין דרכו של בית משפט זה</w:t>
      </w:r>
      <w:r w:rsidR="00504C13">
        <w:rPr>
          <w:rFonts w:hint="cs"/>
          <w:rtl/>
        </w:rPr>
        <w:t xml:space="preserve"> להתערב בהחלטות כגון דא, בדומה להלכה המושרשת בדבר היקף ההתערבות המצומצם בשיקול הדעת הנתון לרשויות התביעה, האכיפה והחקירה בכל הנוגע להליכי חקירה והעמדה לדין (ראו, לדוגמה מני רבים, בג"ץ 2410/20 </w:t>
      </w:r>
      <w:r w:rsidR="00504C13" w:rsidRPr="00504C13">
        <w:rPr>
          <w:rFonts w:ascii="Century" w:hAnsi="Century" w:cs="Miriam" w:hint="cs"/>
          <w:b/>
          <w:spacing w:val="0"/>
          <w:szCs w:val="24"/>
          <w:rtl/>
        </w:rPr>
        <w:t xml:space="preserve">תנו לחיות </w:t>
      </w:r>
      <w:proofErr w:type="spellStart"/>
      <w:r w:rsidR="00504C13" w:rsidRPr="00504C13">
        <w:rPr>
          <w:rFonts w:ascii="Century" w:hAnsi="Century" w:cs="Miriam" w:hint="cs"/>
          <w:b/>
          <w:spacing w:val="0"/>
          <w:szCs w:val="24"/>
          <w:rtl/>
        </w:rPr>
        <w:t>לחיות</w:t>
      </w:r>
      <w:proofErr w:type="spellEnd"/>
      <w:r w:rsidR="00504C13" w:rsidRPr="00504C13">
        <w:rPr>
          <w:rFonts w:ascii="Century" w:hAnsi="Century" w:cs="Miriam" w:hint="cs"/>
          <w:b/>
          <w:spacing w:val="0"/>
          <w:szCs w:val="24"/>
          <w:rtl/>
        </w:rPr>
        <w:t xml:space="preserve"> נ' נציב שירות המדינה</w:t>
      </w:r>
      <w:r w:rsidR="00504C13" w:rsidRPr="00504C13">
        <w:rPr>
          <w:rFonts w:hint="cs"/>
          <w:rtl/>
        </w:rPr>
        <w:t xml:space="preserve"> </w:t>
      </w:r>
      <w:r w:rsidR="00504C13">
        <w:rPr>
          <w:rFonts w:hint="cs"/>
          <w:rtl/>
        </w:rPr>
        <w:t>(19.8.2020)).</w:t>
      </w:r>
    </w:p>
    <w:p w:rsidR="00504C13" w:rsidRDefault="00504C13" w:rsidP="00504C13">
      <w:pPr>
        <w:pStyle w:val="Ruller4"/>
        <w:rPr>
          <w:rtl/>
        </w:rPr>
      </w:pPr>
    </w:p>
    <w:p w:rsidR="00504C13" w:rsidRDefault="00504C13" w:rsidP="00300044">
      <w:pPr>
        <w:pStyle w:val="Ruller4"/>
        <w:rPr>
          <w:rtl/>
        </w:rPr>
      </w:pPr>
      <w:r>
        <w:rPr>
          <w:rFonts w:hint="cs"/>
          <w:rtl/>
        </w:rPr>
        <w:lastRenderedPageBreak/>
        <w:t>3.</w:t>
      </w:r>
      <w:r>
        <w:rPr>
          <w:rFonts w:hint="cs"/>
          <w:rtl/>
        </w:rPr>
        <w:tab/>
        <w:t xml:space="preserve">חזקה על הרשויות </w:t>
      </w:r>
      <w:r w:rsidR="00300044">
        <w:rPr>
          <w:rFonts w:hint="cs"/>
          <w:rtl/>
        </w:rPr>
        <w:t>הנוגעות בדבר</w:t>
      </w:r>
      <w:r w:rsidR="008B1A75">
        <w:rPr>
          <w:rFonts w:hint="cs"/>
          <w:rtl/>
        </w:rPr>
        <w:t>,</w:t>
      </w:r>
      <w:r w:rsidR="00300044">
        <w:rPr>
          <w:rFonts w:hint="cs"/>
          <w:rtl/>
        </w:rPr>
        <w:t xml:space="preserve"> </w:t>
      </w:r>
      <w:r>
        <w:rPr>
          <w:rFonts w:hint="cs"/>
          <w:rtl/>
        </w:rPr>
        <w:t xml:space="preserve">כי ככל שהמשיב 5 יבקש </w:t>
      </w:r>
      <w:r w:rsidR="00300044">
        <w:rPr>
          <w:rFonts w:hint="cs"/>
          <w:rtl/>
        </w:rPr>
        <w:t xml:space="preserve">בעתיד </w:t>
      </w:r>
      <w:r>
        <w:rPr>
          <w:rFonts w:hint="cs"/>
          <w:rtl/>
        </w:rPr>
        <w:t xml:space="preserve">להציג </w:t>
      </w:r>
      <w:r w:rsidR="006F0EE7">
        <w:rPr>
          <w:rFonts w:hint="cs"/>
          <w:rtl/>
        </w:rPr>
        <w:t xml:space="preserve">את </w:t>
      </w:r>
      <w:r>
        <w:rPr>
          <w:rFonts w:hint="cs"/>
          <w:rtl/>
        </w:rPr>
        <w:t>מועמדותו לתפקיד בשירות המדינה, הרי שנסיבות עתירה זו יעמדו בפני</w:t>
      </w:r>
      <w:r w:rsidR="008B1A75">
        <w:rPr>
          <w:rFonts w:hint="cs"/>
          <w:rtl/>
        </w:rPr>
        <w:t xml:space="preserve"> הגורמים הרלוונטיים</w:t>
      </w:r>
      <w:r>
        <w:rPr>
          <w:rFonts w:hint="cs"/>
          <w:rtl/>
        </w:rPr>
        <w:t>.</w:t>
      </w:r>
    </w:p>
    <w:p w:rsidR="00504C13" w:rsidRDefault="00504C13" w:rsidP="00504C13">
      <w:pPr>
        <w:pStyle w:val="Ruller4"/>
        <w:rPr>
          <w:rtl/>
        </w:rPr>
      </w:pPr>
    </w:p>
    <w:p w:rsidR="00300044" w:rsidRDefault="00504C13" w:rsidP="00A44C50">
      <w:pPr>
        <w:pStyle w:val="Ruller4"/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בשולי הדברים נ</w:t>
      </w:r>
      <w:r w:rsidR="00300044">
        <w:rPr>
          <w:rFonts w:hint="cs"/>
          <w:rtl/>
        </w:rPr>
        <w:t xml:space="preserve">דגיש </w:t>
      </w:r>
      <w:r>
        <w:rPr>
          <w:rFonts w:hint="cs"/>
          <w:rtl/>
        </w:rPr>
        <w:t>את המובן מאליו</w:t>
      </w:r>
      <w:r w:rsidR="00300044">
        <w:rPr>
          <w:rFonts w:hint="cs"/>
          <w:rtl/>
        </w:rPr>
        <w:t xml:space="preserve">, </w:t>
      </w:r>
      <w:r>
        <w:rPr>
          <w:rFonts w:hint="cs"/>
          <w:rtl/>
        </w:rPr>
        <w:t>כי אין מקום להתבטאויות כמו אלה שיוחסו למשיב מס' 5 בעתירה, הן במישור הפוליט</w:t>
      </w:r>
      <w:r w:rsidR="00300044">
        <w:rPr>
          <w:rFonts w:hint="cs"/>
          <w:rtl/>
        </w:rPr>
        <w:t>י</w:t>
      </w:r>
      <w:r>
        <w:rPr>
          <w:rFonts w:hint="cs"/>
          <w:rtl/>
        </w:rPr>
        <w:t xml:space="preserve"> (קריאה להצביע למפלגה מסוימת)</w:t>
      </w:r>
      <w:r w:rsidR="006F0EE7">
        <w:rPr>
          <w:rFonts w:hint="cs"/>
          <w:rtl/>
        </w:rPr>
        <w:t>,</w:t>
      </w:r>
      <w:r>
        <w:rPr>
          <w:rFonts w:hint="cs"/>
          <w:rtl/>
        </w:rPr>
        <w:t xml:space="preserve"> הן כלפי ציבורים מסוימים</w:t>
      </w:r>
      <w:r w:rsidR="00A44C50">
        <w:rPr>
          <w:rFonts w:hint="cs"/>
          <w:rtl/>
        </w:rPr>
        <w:t xml:space="preserve">. </w:t>
      </w:r>
      <w:r>
        <w:rPr>
          <w:rFonts w:hint="cs"/>
          <w:rtl/>
        </w:rPr>
        <w:t xml:space="preserve"> </w:t>
      </w:r>
    </w:p>
    <w:p w:rsidR="00300044" w:rsidRDefault="00300044" w:rsidP="00300044">
      <w:pPr>
        <w:pStyle w:val="Ruller4"/>
        <w:rPr>
          <w:rtl/>
        </w:rPr>
      </w:pPr>
    </w:p>
    <w:p w:rsidR="00504C13" w:rsidRDefault="00300044" w:rsidP="00300044">
      <w:pPr>
        <w:pStyle w:val="Ruller4"/>
        <w:rPr>
          <w:rtl/>
        </w:rPr>
      </w:pPr>
      <w:r>
        <w:rPr>
          <w:rFonts w:hint="cs"/>
          <w:rtl/>
        </w:rPr>
        <w:t>5</w:t>
      </w:r>
      <w:r w:rsidR="00504C13">
        <w:rPr>
          <w:rtl/>
        </w:rPr>
        <w:t>.</w:t>
      </w:r>
      <w:r>
        <w:rPr>
          <w:rtl/>
        </w:rPr>
        <w:tab/>
      </w:r>
      <w:r>
        <w:rPr>
          <w:rFonts w:hint="cs"/>
          <w:rtl/>
        </w:rPr>
        <w:t>העתירה השיגה את מטרתה</w:t>
      </w:r>
      <w:r w:rsidR="00ED10DE">
        <w:rPr>
          <w:rFonts w:hint="cs"/>
          <w:rtl/>
        </w:rPr>
        <w:t>,</w:t>
      </w:r>
      <w:r>
        <w:rPr>
          <w:rFonts w:hint="cs"/>
          <w:rtl/>
        </w:rPr>
        <w:t xml:space="preserve"> אך יש להצר על כך שהטיפול בפניותיה של העותרת התארך מעל המידה הראויה. המשיבים 4-1 י</w:t>
      </w:r>
      <w:r w:rsidR="00254E51">
        <w:rPr>
          <w:rFonts w:hint="cs"/>
          <w:rtl/>
        </w:rPr>
        <w:t>י</w:t>
      </w:r>
      <w:r>
        <w:rPr>
          <w:rFonts w:hint="cs"/>
          <w:rtl/>
        </w:rPr>
        <w:t>שאו בהוצאות העותר</w:t>
      </w:r>
      <w:r w:rsidR="0058781E">
        <w:rPr>
          <w:rFonts w:hint="cs"/>
          <w:rtl/>
        </w:rPr>
        <w:t>ו</w:t>
      </w:r>
      <w:r>
        <w:rPr>
          <w:rFonts w:hint="cs"/>
          <w:rtl/>
        </w:rPr>
        <w:t xml:space="preserve">ת בסך 10,000 ₪.  </w:t>
      </w:r>
    </w:p>
    <w:p w:rsidR="00504C13" w:rsidRDefault="00504C13" w:rsidP="00504C13">
      <w:pPr>
        <w:pStyle w:val="Ruller4"/>
        <w:rPr>
          <w:rtl/>
        </w:rPr>
      </w:pPr>
    </w:p>
    <w:p w:rsidR="00504C13" w:rsidRDefault="00504C13" w:rsidP="00504C13">
      <w:pPr>
        <w:pStyle w:val="Ruller4"/>
        <w:rPr>
          <w:rtl/>
        </w:rPr>
      </w:pPr>
    </w:p>
    <w:p w:rsidR="00504C13" w:rsidRDefault="00504C13" w:rsidP="00300044">
      <w:pPr>
        <w:pStyle w:val="Ruller4"/>
        <w:rPr>
          <w:rtl/>
        </w:rPr>
      </w:pPr>
      <w:r>
        <w:rPr>
          <w:rtl/>
        </w:rPr>
        <w:tab/>
        <w:t>נית</w:t>
      </w:r>
      <w:r>
        <w:rPr>
          <w:rFonts w:hint="cs"/>
          <w:rtl/>
        </w:rPr>
        <w:t>ן</w:t>
      </w:r>
      <w:r>
        <w:rPr>
          <w:rtl/>
        </w:rPr>
        <w:t xml:space="preserve"> היום, </w:t>
      </w:r>
      <w:r>
        <w:rPr>
          <w:rFonts w:hint="eastAsia"/>
          <w:rtl/>
        </w:rPr>
        <w:t>‏כ</w:t>
      </w:r>
      <w:r>
        <w:rPr>
          <w:rtl/>
        </w:rPr>
        <w:t xml:space="preserve">"א באייר </w:t>
      </w:r>
      <w:proofErr w:type="spellStart"/>
      <w:r>
        <w:rPr>
          <w:rtl/>
        </w:rPr>
        <w:t>התשפ"א</w:t>
      </w:r>
      <w:proofErr w:type="spellEnd"/>
      <w:r>
        <w:rPr>
          <w:rtl/>
        </w:rPr>
        <w:t xml:space="preserve"> (</w:t>
      </w:r>
      <w:r>
        <w:rPr>
          <w:rFonts w:hint="eastAsia"/>
          <w:rtl/>
        </w:rPr>
        <w:t>‏</w:t>
      </w:r>
      <w:r>
        <w:rPr>
          <w:rtl/>
        </w:rPr>
        <w:t>3.5.2021)</w:t>
      </w:r>
      <w:r w:rsidR="00300044">
        <w:rPr>
          <w:rFonts w:hint="cs"/>
          <w:rtl/>
        </w:rPr>
        <w:t xml:space="preserve">. </w:t>
      </w:r>
    </w:p>
    <w:p w:rsidR="00504C13" w:rsidRDefault="00504C13" w:rsidP="00504C13">
      <w:pPr>
        <w:pStyle w:val="Ruller4"/>
        <w:rPr>
          <w:rtl/>
        </w:rPr>
      </w:pPr>
    </w:p>
    <w:p w:rsidR="00016EF1" w:rsidRDefault="00016EF1" w:rsidP="00A51FAE">
      <w:pPr>
        <w:pStyle w:val="Ruller4"/>
        <w:rPr>
          <w:rtl/>
        </w:rPr>
      </w:pPr>
      <w:bookmarkStart w:id="4" w:name="Start_Write"/>
      <w:bookmarkEnd w:id="4"/>
    </w:p>
    <w:tbl>
      <w:tblPr>
        <w:bidiVisual/>
        <w:tblW w:w="8363" w:type="dxa"/>
        <w:tblLook w:val="01E0" w:firstRow="1" w:lastRow="1" w:firstColumn="1" w:lastColumn="1" w:noHBand="0" w:noVBand="0"/>
      </w:tblPr>
      <w:tblGrid>
        <w:gridCol w:w="2787"/>
        <w:gridCol w:w="2788"/>
        <w:gridCol w:w="2788"/>
      </w:tblGrid>
      <w:tr w:rsidR="001A0164" w:rsidTr="00D00B1D">
        <w:tc>
          <w:tcPr>
            <w:tcW w:w="2842" w:type="dxa"/>
            <w:shd w:val="clear" w:color="auto" w:fill="auto"/>
          </w:tcPr>
          <w:p w:rsidR="00016EF1" w:rsidRDefault="00517E94" w:rsidP="00504C13">
            <w:pPr>
              <w:pStyle w:val="Ruller4"/>
              <w:jc w:val="center"/>
              <w:rPr>
                <w:rtl/>
              </w:rPr>
            </w:pPr>
            <w:r>
              <w:rPr>
                <w:rtl/>
              </w:rPr>
              <w:t>ש ו פ ט</w:t>
            </w:r>
          </w:p>
        </w:tc>
        <w:tc>
          <w:tcPr>
            <w:tcW w:w="2843" w:type="dxa"/>
            <w:shd w:val="clear" w:color="auto" w:fill="auto"/>
          </w:tcPr>
          <w:p w:rsidR="001A0164" w:rsidRDefault="00517E94" w:rsidP="00BA0B08">
            <w:pPr>
              <w:pStyle w:val="Ruller4"/>
              <w:jc w:val="center"/>
              <w:rPr>
                <w:rtl/>
              </w:rPr>
            </w:pPr>
            <w:r>
              <w:rPr>
                <w:rtl/>
              </w:rPr>
              <w:t>ש ו פ ט ת</w:t>
            </w:r>
          </w:p>
        </w:tc>
        <w:tc>
          <w:tcPr>
            <w:tcW w:w="2843" w:type="dxa"/>
            <w:shd w:val="clear" w:color="auto" w:fill="auto"/>
          </w:tcPr>
          <w:p w:rsidR="001A0164" w:rsidRDefault="00517E94" w:rsidP="00BA0B08">
            <w:pPr>
              <w:pStyle w:val="Ruller4"/>
              <w:jc w:val="center"/>
              <w:rPr>
                <w:rtl/>
              </w:rPr>
            </w:pPr>
            <w:r>
              <w:rPr>
                <w:rtl/>
              </w:rPr>
              <w:t>ש ו פ ט ת</w:t>
            </w:r>
          </w:p>
        </w:tc>
      </w:tr>
    </w:tbl>
    <w:p w:rsidR="00044953" w:rsidRDefault="00044953" w:rsidP="00A51FAE">
      <w:pPr>
        <w:pStyle w:val="Ruller4"/>
        <w:rPr>
          <w:rtl/>
        </w:rPr>
      </w:pPr>
    </w:p>
    <w:p w:rsidR="00504C13" w:rsidRDefault="00504C13" w:rsidP="00A51FAE">
      <w:pPr>
        <w:pStyle w:val="Ruller4"/>
        <w:rPr>
          <w:rtl/>
        </w:rPr>
      </w:pPr>
    </w:p>
    <w:p w:rsidR="00916FF8" w:rsidRDefault="00916FF8">
      <w:pPr>
        <w:rPr>
          <w:szCs w:val="16"/>
          <w:rtl/>
        </w:rPr>
      </w:pPr>
      <w:r>
        <w:rPr>
          <w:szCs w:val="16"/>
          <w:rtl/>
        </w:rPr>
        <w:t>_________________</w:t>
      </w:r>
      <w:r w:rsidR="00A12E0F">
        <w:rPr>
          <w:rFonts w:hint="cs"/>
          <w:szCs w:val="16"/>
          <w:rtl/>
        </w:rPr>
        <w:t>________</w:t>
      </w:r>
    </w:p>
    <w:p w:rsidR="00916FF8" w:rsidRDefault="00591983" w:rsidP="00B009CC">
      <w:pPr>
        <w:pStyle w:val="Ruller38"/>
        <w:rPr>
          <w:rtl/>
        </w:rPr>
      </w:pPr>
      <w:r>
        <w:rPr>
          <w:sz w:val="16"/>
        </w:rPr>
        <w:t xml:space="preserve"> </w:t>
      </w:r>
      <w:r w:rsidR="00A12E0F">
        <w:rPr>
          <w:sz w:val="16"/>
        </w:rPr>
        <w:t xml:space="preserve">  </w:t>
      </w:r>
      <w:r w:rsidR="00517E94">
        <w:rPr>
          <w:sz w:val="16"/>
        </w:rPr>
        <w:t xml:space="preserve">20037750_E12.docx   </w:t>
      </w:r>
      <w:r w:rsidR="00517E94">
        <w:rPr>
          <w:sz w:val="16"/>
          <w:rtl/>
        </w:rPr>
        <w:t>עכ</w:t>
      </w:r>
      <w:r w:rsidR="00504C13">
        <w:rPr>
          <w:rFonts w:hint="cs"/>
          <w:sz w:val="16"/>
          <w:rtl/>
        </w:rPr>
        <w:t>ב</w:t>
      </w:r>
    </w:p>
    <w:p w:rsidR="00591983" w:rsidRPr="00FC0252" w:rsidRDefault="00591983" w:rsidP="00FC0252">
      <w:pPr>
        <w:pStyle w:val="Ruller38"/>
        <w:rPr>
          <w:rtl/>
        </w:rPr>
      </w:pPr>
      <w:r>
        <w:rPr>
          <w:rtl/>
        </w:rPr>
        <w:t>מרכז מידע, טל'</w:t>
      </w:r>
      <w:r>
        <w:rPr>
          <w:rFonts w:hint="cs"/>
          <w:rtl/>
        </w:rPr>
        <w:t xml:space="preserve"> </w:t>
      </w:r>
      <w:r w:rsidR="00B63343">
        <w:rPr>
          <w:rFonts w:hint="cs"/>
          <w:rtl/>
        </w:rPr>
        <w:t>077</w:t>
      </w:r>
      <w:r>
        <w:rPr>
          <w:rFonts w:hint="cs"/>
          <w:rtl/>
        </w:rPr>
        <w:t>-</w:t>
      </w:r>
      <w:r w:rsidR="00B63343">
        <w:rPr>
          <w:rFonts w:hint="cs"/>
          <w:rtl/>
        </w:rPr>
        <w:t>270</w:t>
      </w:r>
      <w:r w:rsidR="00E21CA9">
        <w:rPr>
          <w:rFonts w:hint="cs"/>
          <w:rtl/>
        </w:rPr>
        <w:t>3</w:t>
      </w:r>
      <w:r w:rsidR="009B38DA">
        <w:rPr>
          <w:rFonts w:hint="cs"/>
          <w:rtl/>
        </w:rPr>
        <w:t>333</w:t>
      </w:r>
      <w:r w:rsidR="00866D0F">
        <w:rPr>
          <w:rFonts w:hint="cs"/>
          <w:rtl/>
        </w:rPr>
        <w:t>, 3852*</w:t>
      </w:r>
      <w:r>
        <w:rPr>
          <w:rFonts w:hint="cs"/>
          <w:rtl/>
        </w:rPr>
        <w:t xml:space="preserve"> ; אתר אינטרנט,  </w:t>
      </w:r>
      <w:hyperlink r:id="rId8" w:history="1">
        <w:r w:rsidR="00FC0252" w:rsidRPr="00BB4C68">
          <w:rPr>
            <w:rStyle w:val="Hyperlink"/>
            <w:sz w:val="16"/>
          </w:rPr>
          <w:t>https://supreme.court.gov.il</w:t>
        </w:r>
      </w:hyperlink>
    </w:p>
    <w:sectPr w:rsidR="00591983" w:rsidRPr="00FC0252" w:rsidSect="00591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6" w:h="16838" w:code="9"/>
      <w:pgMar w:top="1134" w:right="1797" w:bottom="1440" w:left="1797" w:header="567" w:footer="397" w:gutter="0"/>
      <w:cols w:space="720"/>
      <w:titlePg/>
      <w:bidi/>
      <w:rtlGutter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3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rgValue="AgBSAHUAbABsAGUAcgAgADMA" wne:acdName="acd0" wne:fciIndexBasedOn="0065"/>
    <wne:acd wne:argValue="AgBSAHUAbABsAGUAcgA0AA==" wne:acdName="acd1" wne:fciIndexBasedOn="0065"/>
    <wne:acd wne:argValue="AgBSAHUAbABsAGUAcgA1AA=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F6" w:rsidRDefault="007D5AF6">
      <w:r>
        <w:separator/>
      </w:r>
    </w:p>
  </w:endnote>
  <w:endnote w:type="continuationSeparator" w:id="0">
    <w:p w:rsidR="007D5AF6" w:rsidRDefault="007D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DavidFix">
    <w:charset w:val="B1"/>
    <w:family w:val="auto"/>
    <w:pitch w:val="variable"/>
    <w:sig w:usb0="00001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C0E8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77102" w:rsidRDefault="00377102">
    <w:pPr>
      <w:pStyle w:val="Footer"/>
      <w:rPr>
        <w:rtl/>
      </w:rPr>
    </w:pPr>
  </w:p>
  <w:p w:rsidR="00377102" w:rsidRDefault="0037710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94" w:rsidRDefault="00517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4D" w:rsidRPr="00F959DB" w:rsidRDefault="00045B4D" w:rsidP="00914156">
    <w:pPr>
      <w:pStyle w:val="Footer"/>
      <w:bidi w:val="0"/>
      <w:jc w:val="right"/>
      <w:rPr>
        <w:sz w:val="16"/>
        <w:szCs w:val="16"/>
      </w:rPr>
    </w:pPr>
    <w:bookmarkStart w:id="5" w:name="footer_line"/>
    <w:bookmarkEnd w:id="5"/>
  </w:p>
  <w:p w:rsidR="00045B4D" w:rsidRDefault="00045B4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F6" w:rsidRDefault="007D5AF6">
      <w:r>
        <w:separator/>
      </w:r>
    </w:p>
  </w:footnote>
  <w:footnote w:type="continuationSeparator" w:id="0">
    <w:p w:rsidR="007D5AF6" w:rsidRDefault="007D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C0E8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77102" w:rsidRDefault="00377102">
    <w:pPr>
      <w:pStyle w:val="Header"/>
      <w:rPr>
        <w:rtl/>
      </w:rPr>
    </w:pPr>
  </w:p>
  <w:p w:rsidR="00377102" w:rsidRDefault="0037710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86A4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77102" w:rsidRDefault="00377102">
    <w:pPr>
      <w:pStyle w:val="Header"/>
      <w:rPr>
        <w:rtl/>
      </w:rPr>
    </w:pPr>
  </w:p>
  <w:p w:rsidR="00377102" w:rsidRDefault="0037710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363" w:type="dxa"/>
      <w:tblLook w:val="0000" w:firstRow="0" w:lastRow="0" w:firstColumn="0" w:lastColumn="0" w:noHBand="0" w:noVBand="0"/>
    </w:tblPr>
    <w:tblGrid>
      <w:gridCol w:w="8363"/>
    </w:tblGrid>
    <w:tr w:rsidR="00045B4D" w:rsidTr="00EC23AC">
      <w:trPr>
        <w:trHeight w:val="342"/>
      </w:trPr>
      <w:tc>
        <w:tcPr>
          <w:tcW w:w="9828" w:type="dxa"/>
        </w:tcPr>
        <w:p w:rsidR="00377102" w:rsidRPr="002F7BB6" w:rsidRDefault="00EE3810" w:rsidP="00045B4D">
          <w:pPr>
            <w:pStyle w:val="Casenameintextbody"/>
            <w:jc w:val="center"/>
            <w:rPr>
              <w:u w:val="none"/>
              <w:rtl/>
            </w:rPr>
          </w:pPr>
          <w:r w:rsidRPr="002F7BB6">
            <w:rPr>
              <w:noProof/>
              <w:sz w:val="16"/>
              <w:szCs w:val="18"/>
              <w:u w:val="none"/>
              <w:rtl/>
            </w:rPr>
            <w:drawing>
              <wp:inline distT="0" distB="0" distL="0" distR="0">
                <wp:extent cx="464820" cy="449580"/>
                <wp:effectExtent l="0" t="0" r="0" b="762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B4D" w:rsidRDefault="00045B4D" w:rsidP="00045B4D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7A4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B8E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485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300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046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CCE6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26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A0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0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800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7"/>
    <w:rsid w:val="00016EF1"/>
    <w:rsid w:val="00032036"/>
    <w:rsid w:val="00036227"/>
    <w:rsid w:val="00044953"/>
    <w:rsid w:val="00045B4D"/>
    <w:rsid w:val="000725F5"/>
    <w:rsid w:val="00072AD2"/>
    <w:rsid w:val="000B1478"/>
    <w:rsid w:val="000C4690"/>
    <w:rsid w:val="000D25C4"/>
    <w:rsid w:val="00134A67"/>
    <w:rsid w:val="001A0164"/>
    <w:rsid w:val="001F2CBA"/>
    <w:rsid w:val="00200D6B"/>
    <w:rsid w:val="00231C8C"/>
    <w:rsid w:val="00254E51"/>
    <w:rsid w:val="00265F6E"/>
    <w:rsid w:val="002876BF"/>
    <w:rsid w:val="002A4A7A"/>
    <w:rsid w:val="002A4BF3"/>
    <w:rsid w:val="002F7BB6"/>
    <w:rsid w:val="00300044"/>
    <w:rsid w:val="003448B2"/>
    <w:rsid w:val="00361DB2"/>
    <w:rsid w:val="0037622E"/>
    <w:rsid w:val="00377102"/>
    <w:rsid w:val="00384A7D"/>
    <w:rsid w:val="0039709B"/>
    <w:rsid w:val="003D72DA"/>
    <w:rsid w:val="003F1F97"/>
    <w:rsid w:val="0041048F"/>
    <w:rsid w:val="00437D59"/>
    <w:rsid w:val="004610A4"/>
    <w:rsid w:val="00467987"/>
    <w:rsid w:val="004B29FF"/>
    <w:rsid w:val="004C7868"/>
    <w:rsid w:val="00503A3E"/>
    <w:rsid w:val="00504C13"/>
    <w:rsid w:val="00517E94"/>
    <w:rsid w:val="00527F02"/>
    <w:rsid w:val="0056591C"/>
    <w:rsid w:val="005803E2"/>
    <w:rsid w:val="0058440A"/>
    <w:rsid w:val="0058781E"/>
    <w:rsid w:val="00591983"/>
    <w:rsid w:val="00624A42"/>
    <w:rsid w:val="00640A58"/>
    <w:rsid w:val="0065522F"/>
    <w:rsid w:val="006A30F7"/>
    <w:rsid w:val="006C42AD"/>
    <w:rsid w:val="006F0EE7"/>
    <w:rsid w:val="00725345"/>
    <w:rsid w:val="00741CC0"/>
    <w:rsid w:val="007B512F"/>
    <w:rsid w:val="007D5AF6"/>
    <w:rsid w:val="007F7512"/>
    <w:rsid w:val="00810894"/>
    <w:rsid w:val="008143AB"/>
    <w:rsid w:val="0083345F"/>
    <w:rsid w:val="00836667"/>
    <w:rsid w:val="00866D0F"/>
    <w:rsid w:val="008B1A75"/>
    <w:rsid w:val="008C2F11"/>
    <w:rsid w:val="008D78B9"/>
    <w:rsid w:val="008E3F85"/>
    <w:rsid w:val="009051E8"/>
    <w:rsid w:val="00914156"/>
    <w:rsid w:val="00916FF8"/>
    <w:rsid w:val="00922093"/>
    <w:rsid w:val="00930C85"/>
    <w:rsid w:val="009B38DA"/>
    <w:rsid w:val="009F2F53"/>
    <w:rsid w:val="009F4187"/>
    <w:rsid w:val="009F6285"/>
    <w:rsid w:val="00A12E0F"/>
    <w:rsid w:val="00A14988"/>
    <w:rsid w:val="00A44C50"/>
    <w:rsid w:val="00A51FAE"/>
    <w:rsid w:val="00A80845"/>
    <w:rsid w:val="00AB69F7"/>
    <w:rsid w:val="00AD097B"/>
    <w:rsid w:val="00AD64B9"/>
    <w:rsid w:val="00AE022B"/>
    <w:rsid w:val="00B009CC"/>
    <w:rsid w:val="00B0782A"/>
    <w:rsid w:val="00B62B8C"/>
    <w:rsid w:val="00B63343"/>
    <w:rsid w:val="00B71C0F"/>
    <w:rsid w:val="00B86A43"/>
    <w:rsid w:val="00B87FF7"/>
    <w:rsid w:val="00BA0B08"/>
    <w:rsid w:val="00BC0E82"/>
    <w:rsid w:val="00BD40F9"/>
    <w:rsid w:val="00C41C86"/>
    <w:rsid w:val="00C63A6C"/>
    <w:rsid w:val="00CA13AF"/>
    <w:rsid w:val="00CA1444"/>
    <w:rsid w:val="00CB1590"/>
    <w:rsid w:val="00CB7600"/>
    <w:rsid w:val="00CC0E9D"/>
    <w:rsid w:val="00CC3639"/>
    <w:rsid w:val="00D00B1D"/>
    <w:rsid w:val="00D00CB7"/>
    <w:rsid w:val="00D25F16"/>
    <w:rsid w:val="00E21CA9"/>
    <w:rsid w:val="00E31063"/>
    <w:rsid w:val="00E36FE9"/>
    <w:rsid w:val="00E73E98"/>
    <w:rsid w:val="00E75223"/>
    <w:rsid w:val="00E90D72"/>
    <w:rsid w:val="00EA0BE1"/>
    <w:rsid w:val="00EA1A80"/>
    <w:rsid w:val="00EC23AC"/>
    <w:rsid w:val="00EC2992"/>
    <w:rsid w:val="00ED10DE"/>
    <w:rsid w:val="00ED46A4"/>
    <w:rsid w:val="00ED6FD9"/>
    <w:rsid w:val="00EE3810"/>
    <w:rsid w:val="00F63C3B"/>
    <w:rsid w:val="00F959DB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FC163-86A8-47E8-9BB5-963E03F8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ler3">
    <w:name w:val="Ruller 3"/>
    <w:basedOn w:val="Normal"/>
    <w:rsid w:val="00A51FAE"/>
    <w:pPr>
      <w:tabs>
        <w:tab w:val="left" w:pos="3210"/>
        <w:tab w:val="left" w:pos="6753"/>
      </w:tabs>
      <w:spacing w:line="360" w:lineRule="auto"/>
    </w:pPr>
    <w:rPr>
      <w:rFonts w:cs="FrankRuehl"/>
      <w:spacing w:val="10"/>
      <w:sz w:val="22"/>
      <w:szCs w:val="28"/>
    </w:rPr>
  </w:style>
  <w:style w:type="paragraph" w:customStyle="1" w:styleId="Pskdinhead">
    <w:name w:val="Pskdin head"/>
    <w:basedOn w:val="Normal"/>
    <w:pPr>
      <w:spacing w:line="360" w:lineRule="auto"/>
    </w:pPr>
    <w:rPr>
      <w:b/>
      <w:bCs/>
      <w:u w:val="single"/>
    </w:rPr>
  </w:style>
  <w:style w:type="paragraph" w:customStyle="1" w:styleId="FileNumber">
    <w:name w:val="File Number"/>
    <w:basedOn w:val="Normal"/>
    <w:pPr>
      <w:spacing w:line="360" w:lineRule="auto"/>
      <w:jc w:val="right"/>
    </w:pPr>
    <w:rPr>
      <w:bCs/>
    </w:rPr>
  </w:style>
  <w:style w:type="paragraph" w:customStyle="1" w:styleId="FirstpagestylePsakdin">
    <w:name w:val="First page style Psak din"/>
    <w:basedOn w:val="Ruller3"/>
    <w:pPr>
      <w:tabs>
        <w:tab w:val="clear" w:pos="3210"/>
        <w:tab w:val="left" w:pos="3209"/>
      </w:tabs>
    </w:pPr>
    <w:rPr>
      <w:bCs/>
    </w:rPr>
  </w:style>
  <w:style w:type="paragraph" w:customStyle="1" w:styleId="TyutaDate">
    <w:name w:val="Tyuta Date"/>
    <w:basedOn w:val="Normal"/>
    <w:pPr>
      <w:jc w:val="center"/>
    </w:pPr>
    <w:rPr>
      <w:b/>
      <w:bCs/>
      <w:i/>
      <w:iCs/>
      <w:sz w:val="28"/>
      <w:szCs w:val="28"/>
    </w:rPr>
  </w:style>
  <w:style w:type="paragraph" w:customStyle="1" w:styleId="DocumentHead">
    <w:name w:val="Document Head"/>
    <w:basedOn w:val="Normal"/>
    <w:pPr>
      <w:spacing w:line="360" w:lineRule="auto"/>
      <w:jc w:val="center"/>
    </w:pPr>
    <w:rPr>
      <w:bCs/>
      <w:spacing w:val="30"/>
      <w:szCs w:val="28"/>
      <w:u w:val="single"/>
    </w:rPr>
  </w:style>
  <w:style w:type="paragraph" w:customStyle="1" w:styleId="TfutzaList">
    <w:name w:val="Tfutza List"/>
    <w:basedOn w:val="Normal"/>
    <w:rPr>
      <w:i/>
      <w:iCs/>
    </w:rPr>
  </w:style>
  <w:style w:type="paragraph" w:customStyle="1" w:styleId="Ruller4">
    <w:name w:val="Ruller4"/>
    <w:basedOn w:val="Normal"/>
    <w:link w:val="Ruller40"/>
    <w:rsid w:val="00A51FAE"/>
    <w:pPr>
      <w:tabs>
        <w:tab w:val="left" w:pos="800"/>
      </w:tabs>
      <w:spacing w:line="360" w:lineRule="auto"/>
      <w:jc w:val="both"/>
    </w:pPr>
    <w:rPr>
      <w:rFonts w:ascii="Arial TUR" w:hAnsi="Arial TUR" w:cs="FrankRuehl"/>
      <w:spacing w:val="10"/>
      <w:sz w:val="22"/>
      <w:szCs w:val="28"/>
    </w:rPr>
  </w:style>
  <w:style w:type="paragraph" w:customStyle="1" w:styleId="Ruller5">
    <w:name w:val="Ruller5"/>
    <w:basedOn w:val="Normal"/>
    <w:rsid w:val="00A51FAE"/>
    <w:pPr>
      <w:ind w:left="1642" w:right="1282"/>
      <w:jc w:val="both"/>
    </w:pPr>
    <w:rPr>
      <w:rFonts w:ascii="Arial TUR" w:hAnsi="Arial TUR" w:cs="FrankRuehl"/>
      <w:spacing w:val="10"/>
      <w:sz w:val="22"/>
      <w:szCs w:val="28"/>
    </w:rPr>
  </w:style>
  <w:style w:type="paragraph" w:customStyle="1" w:styleId="Ruller6">
    <w:name w:val="Ruller6"/>
    <w:basedOn w:val="Normal"/>
    <w:rsid w:val="00A51FAE"/>
    <w:pPr>
      <w:tabs>
        <w:tab w:val="left" w:pos="794"/>
        <w:tab w:val="left" w:pos="2268"/>
        <w:tab w:val="left" w:pos="5783"/>
        <w:tab w:val="left" w:pos="7371"/>
      </w:tabs>
    </w:pPr>
    <w:rPr>
      <w:rFonts w:ascii="Arial TUR" w:hAnsi="Arial TUR" w:cs="DavidFix"/>
      <w:spacing w:val="10"/>
      <w:sz w:val="22"/>
      <w:szCs w:val="20"/>
    </w:rPr>
  </w:style>
  <w:style w:type="character" w:customStyle="1" w:styleId="Delete">
    <w:name w:val="Delete"/>
    <w:rPr>
      <w:strike/>
    </w:rPr>
  </w:style>
  <w:style w:type="paragraph" w:customStyle="1" w:styleId="WriterName">
    <w:name w:val="Writer Name"/>
    <w:basedOn w:val="Ruller4"/>
    <w:next w:val="Ruller4"/>
    <w:rPr>
      <w:rFonts w:cs="David"/>
      <w:b/>
      <w:bCs/>
      <w:u w:val="single"/>
    </w:rPr>
  </w:style>
  <w:style w:type="character" w:customStyle="1" w:styleId="Hand">
    <w:name w:val="Hand"/>
    <w:rPr>
      <w:rFonts w:cs="Guttman Yad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">
    <w:name w:val="ñâðåï2"/>
    <w:basedOn w:val="Normal"/>
    <w:pPr>
      <w:overflowPunct/>
      <w:textAlignment w:val="auto"/>
    </w:pPr>
    <w:rPr>
      <w:rFonts w:cs="Times New Roman"/>
    </w:rPr>
  </w:style>
  <w:style w:type="paragraph" w:customStyle="1" w:styleId="Casenameintextbody">
    <w:name w:val="Case name in text body"/>
    <w:basedOn w:val="Normal"/>
    <w:pPr>
      <w:overflowPunct/>
      <w:jc w:val="right"/>
      <w:textAlignment w:val="auto"/>
    </w:pPr>
    <w:rPr>
      <w:rFonts w:cs="Times New Roman"/>
      <w:b/>
      <w:bCs/>
      <w:u w:val="single"/>
    </w:rPr>
  </w:style>
  <w:style w:type="paragraph" w:customStyle="1" w:styleId="precasestyle">
    <w:name w:val="pre_case style"/>
    <w:basedOn w:val="Normal"/>
    <w:pPr>
      <w:tabs>
        <w:tab w:val="left" w:pos="2552"/>
      </w:tabs>
      <w:overflowPunct/>
      <w:ind w:right="2549"/>
      <w:textAlignment w:val="auto"/>
    </w:pPr>
    <w:rPr>
      <w:rFonts w:cs="Times New Roman"/>
    </w:rPr>
  </w:style>
  <w:style w:type="paragraph" w:customStyle="1" w:styleId="BodyRuller">
    <w:name w:val="Body Ruller"/>
    <w:basedOn w:val="Normal"/>
    <w:rPr>
      <w:sz w:val="22"/>
      <w:szCs w:val="28"/>
    </w:rPr>
  </w:style>
  <w:style w:type="paragraph" w:customStyle="1" w:styleId="Ruller38">
    <w:name w:val="סגנון Ruller 3 + (מורכב) ‏8 נק"/>
    <w:basedOn w:val="BodyRuller"/>
    <w:rPr>
      <w:szCs w:val="16"/>
    </w:rPr>
  </w:style>
  <w:style w:type="character" w:customStyle="1" w:styleId="Ruller30">
    <w:name w:val="Ruller 3 תו"/>
    <w:rPr>
      <w:rFonts w:cs="FrankRuehl"/>
      <w:sz w:val="22"/>
      <w:szCs w:val="28"/>
      <w:lang w:val="en-US" w:eastAsia="en-US" w:bidi="he-IL"/>
    </w:rPr>
  </w:style>
  <w:style w:type="character" w:customStyle="1" w:styleId="BodyRuller0">
    <w:name w:val="Body Ruller תו"/>
    <w:rPr>
      <w:rFonts w:cs="David"/>
      <w:sz w:val="22"/>
      <w:szCs w:val="28"/>
      <w:lang w:val="en-US" w:eastAsia="en-US" w:bidi="he-IL"/>
    </w:rPr>
  </w:style>
  <w:style w:type="character" w:customStyle="1" w:styleId="Ruller380">
    <w:name w:val="סגנון Ruller 3 + (מורכב) ‏8 נק תו"/>
    <w:rPr>
      <w:rFonts w:cs="David"/>
      <w:sz w:val="22"/>
      <w:szCs w:val="16"/>
      <w:lang w:val="en-US" w:eastAsia="en-US" w:bidi="he-IL"/>
    </w:rPr>
  </w:style>
  <w:style w:type="paragraph" w:customStyle="1" w:styleId="FileNumber0">
    <w:name w:val="סגנון File Number + ימין"/>
    <w:basedOn w:val="FileNumber"/>
    <w:rsid w:val="004C7868"/>
    <w:pPr>
      <w:jc w:val="left"/>
    </w:pPr>
    <w:rPr>
      <w:szCs w:val="28"/>
    </w:rPr>
  </w:style>
  <w:style w:type="paragraph" w:customStyle="1" w:styleId="BODYVERDICT">
    <w:name w:val="BODY VERDICT"/>
    <w:basedOn w:val="Normal"/>
    <w:rsid w:val="00036227"/>
    <w:rPr>
      <w:rFonts w:cs="FrankRuehl"/>
      <w:spacing w:val="10"/>
      <w:sz w:val="22"/>
      <w:szCs w:val="28"/>
    </w:rPr>
  </w:style>
  <w:style w:type="character" w:styleId="Hyperlink">
    <w:name w:val="Hyperlink"/>
    <w:rsid w:val="003F1F97"/>
    <w:rPr>
      <w:color w:val="0000FF"/>
      <w:u w:val="single"/>
    </w:rPr>
  </w:style>
  <w:style w:type="table" w:styleId="TableGrid">
    <w:name w:val="Table Grid"/>
    <w:basedOn w:val="TableNormal"/>
    <w:rsid w:val="003F1F97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844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D00B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B1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00B1D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rsid w:val="00D00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0B1D"/>
    <w:rPr>
      <w:rFonts w:cs="David"/>
      <w:b/>
      <w:bCs/>
    </w:rPr>
  </w:style>
  <w:style w:type="paragraph" w:styleId="BalloonText">
    <w:name w:val="Balloon Text"/>
    <w:basedOn w:val="Normal"/>
    <w:link w:val="BalloonTextChar"/>
    <w:rsid w:val="00D00B1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B1D"/>
    <w:rPr>
      <w:rFonts w:ascii="Tahoma" w:hAnsi="Tahoma" w:cs="Tahoma"/>
      <w:sz w:val="18"/>
      <w:szCs w:val="18"/>
    </w:rPr>
  </w:style>
  <w:style w:type="character" w:customStyle="1" w:styleId="Ruller40">
    <w:name w:val="Ruller4 תו"/>
    <w:link w:val="Ruller4"/>
    <w:locked/>
    <w:rsid w:val="00504C13"/>
    <w:rPr>
      <w:rFonts w:ascii="Arial TUR" w:hAnsi="Arial TUR" w:cs="FrankRuehl"/>
      <w:spacing w:val="1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reme.court.gov.il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76C52D1D1208244B710AB6936490628" ma:contentTypeVersion="16" ma:contentTypeDescription="צור מסמך חדש." ma:contentTypeScope="" ma:versionID="f352bd2109e23f7e63c1321175c3c5e1">
  <xsd:schema xmlns:xsd="http://www.w3.org/2001/XMLSchema" xmlns:xs="http://www.w3.org/2001/XMLSchema" xmlns:p="http://schemas.microsoft.com/office/2006/metadata/properties" xmlns:ns2="1d955b5a-f623-46d9-8199-4876af12a054" xmlns:ns3="7a4a36dc-db8c-46af-b1d9-4eaaa8b55104" targetNamespace="http://schemas.microsoft.com/office/2006/metadata/properties" ma:root="true" ma:fieldsID="ff63e7ce46241c2d629d1235aeeac8a4" ns2:_="" ns3:_="">
    <xsd:import namespace="1d955b5a-f623-46d9-8199-4876af12a054"/>
    <xsd:import namespace="7a4a36dc-db8c-46af-b1d9-4eaaa8b551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5b5a-f623-46d9-8199-4876af12a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69874f-f350-476e-af63-ca02846facd4}" ma:internalName="TaxCatchAll" ma:showField="CatchAllData" ma:web="1d955b5a-f623-46d9-8199-4876af12a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6dc-db8c-46af-b1d9-4eaaa8b55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7b453a7b-36c8-4997-8c49-fa9be1637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a36dc-db8c-46af-b1d9-4eaaa8b55104">
      <Terms xmlns="http://schemas.microsoft.com/office/infopath/2007/PartnerControls"/>
    </lcf76f155ced4ddcb4097134ff3c332f>
    <TaxCatchAll xmlns="1d955b5a-f623-46d9-8199-4876af12a054" xsi:nil="true"/>
  </documentManagement>
</p:properties>
</file>

<file path=customXml/itemProps1.xml><?xml version="1.0" encoding="utf-8"?>
<ds:datastoreItem xmlns:ds="http://schemas.openxmlformats.org/officeDocument/2006/customXml" ds:itemID="{93E22A1F-1B6F-4CDB-9BC7-7D7643323F0D}"/>
</file>

<file path=customXml/itemProps2.xml><?xml version="1.0" encoding="utf-8"?>
<ds:datastoreItem xmlns:ds="http://schemas.openxmlformats.org/officeDocument/2006/customXml" ds:itemID="{EAFC3B47-9547-4D09-B0EF-2072AD6C72C3}"/>
</file>

<file path=customXml/itemProps3.xml><?xml version="1.0" encoding="utf-8"?>
<ds:datastoreItem xmlns:ds="http://schemas.openxmlformats.org/officeDocument/2006/customXml" ds:itemID="{42145EA2-B0DB-42CD-97CF-67AE7DC66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פסק-דין בתיק בג"ץ  3775/20</vt:lpstr>
    </vt:vector>
  </TitlesOfParts>
  <Company/>
  <LinksUpToDate>false</LinksUpToDate>
  <CharactersWithSpaces>2006</CharactersWithSpaces>
  <SharedDoc>false</SharedDoc>
  <HLinks>
    <vt:vector size="6" baseType="variant">
      <vt:variant>
        <vt:i4>1966158</vt:i4>
      </vt:variant>
      <vt:variant>
        <vt:i4>12</vt:i4>
      </vt:variant>
      <vt:variant>
        <vt:i4>0</vt:i4>
      </vt:variant>
      <vt:variant>
        <vt:i4>5</vt:i4>
      </vt:variant>
      <vt:variant>
        <vt:lpwstr>http://www.court.gov.il/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 Erez. Likhovski</dc:creator>
  <cp:keywords/>
  <dc:description/>
  <cp:lastModifiedBy>Orly  Erez. Likhovski</cp:lastModifiedBy>
  <cp:revision>2</cp:revision>
  <cp:lastPrinted>2021-05-03T16:22:00Z</cp:lastPrinted>
  <dcterms:created xsi:type="dcterms:W3CDTF">2021-05-03T16:26:00Z</dcterms:created>
  <dcterms:modified xsi:type="dcterms:W3CDTF">2021-05-03T16:26:00Z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0x010100A76C52D1D1208244B710AB6936490628</vt:lpwstr>
  </property>
</Properties>
</file>