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8363" w:type="dxa"/>
        <w:tblInd w:w="9" w:type="dxa"/>
        <w:tblLook w:val="0000" w:firstRow="0" w:lastRow="0" w:firstColumn="0" w:lastColumn="0" w:noHBand="0" w:noVBand="0"/>
      </w:tblPr>
      <w:tblGrid>
        <w:gridCol w:w="8363"/>
      </w:tblGrid>
      <w:tr w:rsidR="00036227" w:rsidTr="004E7A39">
        <w:tc>
          <w:tcPr>
            <w:tcW w:w="8363" w:type="dxa"/>
          </w:tcPr>
          <w:p w:rsidR="00916FF8" w:rsidRPr="00624A42" w:rsidRDefault="00DC6F13" w:rsidP="004C7868">
            <w:pPr>
              <w:pStyle w:val="FileNumber0"/>
              <w:rPr>
                <w:sz w:val="28"/>
                <w:u w:val="single"/>
                <w:rtl/>
              </w:rPr>
            </w:pPr>
            <w:r>
              <w:rPr>
                <w:u w:val="single"/>
                <w:rtl/>
              </w:rPr>
              <w:t>בבית המשפט העליון בשבתו כבית משפט גבוה לצדק</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DC6F13">
            <w:pPr>
              <w:pStyle w:val="FileNumber"/>
              <w:rPr>
                <w:sz w:val="28"/>
                <w:szCs w:val="28"/>
              </w:rPr>
            </w:pPr>
            <w:bookmarkStart w:id="0" w:name="casename_body"/>
            <w:r>
              <w:rPr>
                <w:sz w:val="28"/>
                <w:szCs w:val="28"/>
                <w:rtl/>
              </w:rPr>
              <w:t>בג"ץ 5158/21</w:t>
            </w:r>
          </w:p>
        </w:tc>
      </w:tr>
      <w:bookmarkEnd w:id="0"/>
    </w:tbl>
    <w:p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DC6F13">
            <w:pPr>
              <w:pStyle w:val="BodyRuller"/>
            </w:pPr>
            <w:r>
              <w:rPr>
                <w:rtl/>
              </w:rPr>
              <w:t>כבוד ממלא מקום הנשיא ע' פוגלמן</w:t>
            </w:r>
          </w:p>
        </w:tc>
      </w:tr>
      <w:tr w:rsidR="00DC6F13" w:rsidTr="00EC23AC">
        <w:trPr>
          <w:trHeight w:val="287"/>
        </w:trPr>
        <w:tc>
          <w:tcPr>
            <w:tcW w:w="3261" w:type="dxa"/>
          </w:tcPr>
          <w:p w:rsidR="00DC6F13" w:rsidRDefault="00DC6F13">
            <w:pPr>
              <w:pStyle w:val="BodyRuller"/>
              <w:rPr>
                <w:rtl/>
              </w:rPr>
            </w:pPr>
          </w:p>
        </w:tc>
        <w:tc>
          <w:tcPr>
            <w:tcW w:w="5239" w:type="dxa"/>
          </w:tcPr>
          <w:p w:rsidR="00DC6F13" w:rsidRDefault="00DC6F13">
            <w:pPr>
              <w:pStyle w:val="BodyRuller"/>
              <w:rPr>
                <w:rtl/>
              </w:rPr>
            </w:pPr>
            <w:r>
              <w:rPr>
                <w:rtl/>
              </w:rPr>
              <w:t>כבוד השופט א' שטיין</w:t>
            </w:r>
          </w:p>
        </w:tc>
      </w:tr>
      <w:tr w:rsidR="00DC6F13" w:rsidTr="00EC23AC">
        <w:trPr>
          <w:trHeight w:val="287"/>
        </w:trPr>
        <w:tc>
          <w:tcPr>
            <w:tcW w:w="3261" w:type="dxa"/>
          </w:tcPr>
          <w:p w:rsidR="00DC6F13" w:rsidRDefault="00DC6F13">
            <w:pPr>
              <w:pStyle w:val="BodyRuller"/>
              <w:rPr>
                <w:rtl/>
              </w:rPr>
            </w:pPr>
          </w:p>
        </w:tc>
        <w:tc>
          <w:tcPr>
            <w:tcW w:w="5239" w:type="dxa"/>
          </w:tcPr>
          <w:p w:rsidR="00DC6F13" w:rsidRDefault="00DC6F13">
            <w:pPr>
              <w:pStyle w:val="BodyRuller"/>
              <w:rPr>
                <w:rtl/>
              </w:rPr>
            </w:pPr>
            <w:r>
              <w:rPr>
                <w:rtl/>
              </w:rPr>
              <w:t>כבוד השופטת ג' כנפי-שטייניץ</w:t>
            </w:r>
          </w:p>
        </w:tc>
      </w:tr>
    </w:tbl>
    <w:p w:rsidR="00916FF8" w:rsidRDefault="00916FF8" w:rsidP="004E7A39">
      <w:pPr>
        <w:pStyle w:val="Ruller3"/>
        <w:spacing w:line="240" w:lineRule="auto"/>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D00CB7" w:rsidTr="00DD6306">
        <w:trPr>
          <w:trHeight w:val="287"/>
        </w:trPr>
        <w:tc>
          <w:tcPr>
            <w:tcW w:w="3261" w:type="dxa"/>
          </w:tcPr>
          <w:p w:rsidR="00D00CB7" w:rsidRPr="00E75223" w:rsidRDefault="00DC6F13" w:rsidP="00DD6306">
            <w:pPr>
              <w:pStyle w:val="BodyRuller"/>
              <w:rPr>
                <w:rFonts w:ascii="David" w:hAnsi="David"/>
              </w:rPr>
            </w:pPr>
            <w:r>
              <w:rPr>
                <w:rFonts w:ascii="David" w:hAnsi="David"/>
                <w:rtl/>
              </w:rPr>
              <w:t>העותרים:</w:t>
            </w:r>
          </w:p>
        </w:tc>
        <w:tc>
          <w:tcPr>
            <w:tcW w:w="5239" w:type="dxa"/>
          </w:tcPr>
          <w:p w:rsidR="00D00CB7" w:rsidRDefault="00DC6F13" w:rsidP="00DD6306">
            <w:pPr>
              <w:pStyle w:val="BodyRuller"/>
            </w:pPr>
            <w:r>
              <w:rPr>
                <w:rtl/>
              </w:rPr>
              <w:t xml:space="preserve">1. שי </w:t>
            </w:r>
            <w:proofErr w:type="spellStart"/>
            <w:r>
              <w:rPr>
                <w:rtl/>
              </w:rPr>
              <w:t>גורטלר</w:t>
            </w:r>
            <w:proofErr w:type="spellEnd"/>
          </w:p>
        </w:tc>
      </w:tr>
      <w:tr w:rsidR="00DC6F13" w:rsidTr="00DD6306">
        <w:trPr>
          <w:trHeight w:val="287"/>
        </w:trPr>
        <w:tc>
          <w:tcPr>
            <w:tcW w:w="3261" w:type="dxa"/>
          </w:tcPr>
          <w:p w:rsidR="00DC6F13" w:rsidRDefault="00DC6F13" w:rsidP="00DD6306">
            <w:pPr>
              <w:pStyle w:val="BodyRuller"/>
              <w:rPr>
                <w:rFonts w:ascii="David" w:hAnsi="David"/>
                <w:rtl/>
              </w:rPr>
            </w:pPr>
          </w:p>
        </w:tc>
        <w:tc>
          <w:tcPr>
            <w:tcW w:w="5239" w:type="dxa"/>
          </w:tcPr>
          <w:p w:rsidR="00DC6F13" w:rsidRDefault="00DC6F13" w:rsidP="00DD6306">
            <w:pPr>
              <w:pStyle w:val="BodyRuller"/>
              <w:rPr>
                <w:rtl/>
              </w:rPr>
            </w:pPr>
            <w:r>
              <w:rPr>
                <w:rtl/>
              </w:rPr>
              <w:t xml:space="preserve">2. שחר </w:t>
            </w:r>
            <w:proofErr w:type="spellStart"/>
            <w:r>
              <w:rPr>
                <w:rtl/>
              </w:rPr>
              <w:t>גלוברמן</w:t>
            </w:r>
            <w:proofErr w:type="spellEnd"/>
          </w:p>
        </w:tc>
      </w:tr>
      <w:tr w:rsidR="00DC6F13" w:rsidTr="00DD6306">
        <w:trPr>
          <w:trHeight w:val="287"/>
        </w:trPr>
        <w:tc>
          <w:tcPr>
            <w:tcW w:w="3261" w:type="dxa"/>
          </w:tcPr>
          <w:p w:rsidR="00DC6F13" w:rsidRDefault="00DC6F13" w:rsidP="00DD6306">
            <w:pPr>
              <w:pStyle w:val="BodyRuller"/>
              <w:rPr>
                <w:rFonts w:ascii="David" w:hAnsi="David"/>
                <w:rtl/>
              </w:rPr>
            </w:pPr>
          </w:p>
        </w:tc>
        <w:tc>
          <w:tcPr>
            <w:tcW w:w="5239" w:type="dxa"/>
          </w:tcPr>
          <w:p w:rsidR="00DC6F13" w:rsidRDefault="00DC6F13" w:rsidP="00DD6306">
            <w:pPr>
              <w:pStyle w:val="BodyRuller"/>
              <w:rPr>
                <w:rtl/>
              </w:rPr>
            </w:pPr>
            <w:r>
              <w:rPr>
                <w:rtl/>
              </w:rPr>
              <w:t>3. עידו זיו</w:t>
            </w:r>
          </w:p>
        </w:tc>
      </w:tr>
      <w:tr w:rsidR="00DC6F13" w:rsidTr="00DD6306">
        <w:trPr>
          <w:trHeight w:val="287"/>
        </w:trPr>
        <w:tc>
          <w:tcPr>
            <w:tcW w:w="3261" w:type="dxa"/>
          </w:tcPr>
          <w:p w:rsidR="00DC6F13" w:rsidRDefault="00DC6F13" w:rsidP="00DD6306">
            <w:pPr>
              <w:pStyle w:val="BodyRuller"/>
              <w:rPr>
                <w:rFonts w:ascii="David" w:hAnsi="David"/>
                <w:rtl/>
              </w:rPr>
            </w:pPr>
          </w:p>
        </w:tc>
        <w:tc>
          <w:tcPr>
            <w:tcW w:w="5239" w:type="dxa"/>
          </w:tcPr>
          <w:p w:rsidR="00DC6F13" w:rsidRDefault="00DC6F13" w:rsidP="00DD6306">
            <w:pPr>
              <w:pStyle w:val="BodyRuller"/>
              <w:rPr>
                <w:rtl/>
              </w:rPr>
            </w:pPr>
            <w:r>
              <w:rPr>
                <w:rtl/>
              </w:rPr>
              <w:t>4. צפריר גדרון</w:t>
            </w:r>
          </w:p>
        </w:tc>
      </w:tr>
      <w:tr w:rsidR="00DC6F13" w:rsidTr="00DD6306">
        <w:trPr>
          <w:trHeight w:val="287"/>
        </w:trPr>
        <w:tc>
          <w:tcPr>
            <w:tcW w:w="3261" w:type="dxa"/>
          </w:tcPr>
          <w:p w:rsidR="00DC6F13" w:rsidRDefault="00DC6F13" w:rsidP="00DD6306">
            <w:pPr>
              <w:pStyle w:val="BodyRuller"/>
              <w:rPr>
                <w:rFonts w:ascii="David" w:hAnsi="David"/>
                <w:rtl/>
              </w:rPr>
            </w:pPr>
          </w:p>
        </w:tc>
        <w:tc>
          <w:tcPr>
            <w:tcW w:w="5239" w:type="dxa"/>
          </w:tcPr>
          <w:p w:rsidR="00DC6F13" w:rsidRDefault="00DC6F13" w:rsidP="009E2CFD">
            <w:pPr>
              <w:pStyle w:val="BodyRuller"/>
              <w:jc w:val="both"/>
              <w:rPr>
                <w:rtl/>
              </w:rPr>
            </w:pPr>
            <w:r>
              <w:rPr>
                <w:rtl/>
              </w:rPr>
              <w:t>5. המרכז הרפורמי לדת ומדינה, התנועה הרפורמית</w:t>
            </w:r>
            <w:r w:rsidR="009E2CFD">
              <w:rPr>
                <w:rFonts w:hint="cs"/>
                <w:rtl/>
              </w:rPr>
              <w:t xml:space="preserve"> </w:t>
            </w:r>
            <w:r w:rsidR="009E2CFD">
              <w:rPr>
                <w:rtl/>
              </w:rPr>
              <w:t>–</w:t>
            </w:r>
            <w:r w:rsidR="009E2CFD">
              <w:rPr>
                <w:rFonts w:hint="cs"/>
                <w:rtl/>
              </w:rPr>
              <w:t xml:space="preserve"> יהדות מתקדמת בישראל</w:t>
            </w:r>
          </w:p>
        </w:tc>
      </w:tr>
      <w:tr w:rsidR="00DC6F13" w:rsidTr="00DD6306">
        <w:trPr>
          <w:trHeight w:val="287"/>
        </w:trPr>
        <w:tc>
          <w:tcPr>
            <w:tcW w:w="3261" w:type="dxa"/>
          </w:tcPr>
          <w:p w:rsidR="00DC6F13" w:rsidRDefault="00DC6F13" w:rsidP="00DD6306">
            <w:pPr>
              <w:pStyle w:val="BodyRuller"/>
              <w:rPr>
                <w:rFonts w:ascii="David" w:hAnsi="David"/>
                <w:rtl/>
              </w:rPr>
            </w:pPr>
          </w:p>
        </w:tc>
        <w:tc>
          <w:tcPr>
            <w:tcW w:w="5239" w:type="dxa"/>
          </w:tcPr>
          <w:p w:rsidR="00DC6F13" w:rsidRDefault="00DC6F13" w:rsidP="00DD6306">
            <w:pPr>
              <w:pStyle w:val="BodyRuller"/>
              <w:rPr>
                <w:rtl/>
              </w:rPr>
            </w:pPr>
            <w:r>
              <w:rPr>
                <w:rtl/>
              </w:rPr>
              <w:t>6. אבות גאים</w:t>
            </w:r>
          </w:p>
        </w:tc>
      </w:tr>
      <w:tr w:rsidR="00DC6F13" w:rsidTr="00DD6306">
        <w:trPr>
          <w:trHeight w:val="287"/>
        </w:trPr>
        <w:tc>
          <w:tcPr>
            <w:tcW w:w="3261" w:type="dxa"/>
          </w:tcPr>
          <w:p w:rsidR="00DC6F13" w:rsidRDefault="00DC6F13" w:rsidP="00DD6306">
            <w:pPr>
              <w:pStyle w:val="BodyRuller"/>
              <w:rPr>
                <w:rFonts w:ascii="David" w:hAnsi="David"/>
                <w:rtl/>
              </w:rPr>
            </w:pPr>
          </w:p>
        </w:tc>
        <w:tc>
          <w:tcPr>
            <w:tcW w:w="5239" w:type="dxa"/>
          </w:tcPr>
          <w:p w:rsidR="00DC6F13" w:rsidRDefault="00DC6F13" w:rsidP="00DD6306">
            <w:pPr>
              <w:pStyle w:val="BodyRuller"/>
              <w:rPr>
                <w:rtl/>
              </w:rPr>
            </w:pPr>
            <w:r>
              <w:rPr>
                <w:rtl/>
              </w:rPr>
              <w:t>7. האגודה למען הלהט"ב בישראל</w:t>
            </w:r>
          </w:p>
        </w:tc>
      </w:tr>
      <w:tr w:rsidR="00DC6F13" w:rsidTr="00DD6306">
        <w:trPr>
          <w:trHeight w:val="287"/>
        </w:trPr>
        <w:tc>
          <w:tcPr>
            <w:tcW w:w="3261" w:type="dxa"/>
          </w:tcPr>
          <w:p w:rsidR="00DC6F13" w:rsidRDefault="00DC6F13" w:rsidP="00DD6306">
            <w:pPr>
              <w:pStyle w:val="BodyRuller"/>
              <w:rPr>
                <w:rFonts w:ascii="David" w:hAnsi="David"/>
                <w:rtl/>
              </w:rPr>
            </w:pPr>
          </w:p>
        </w:tc>
        <w:tc>
          <w:tcPr>
            <w:tcW w:w="5239" w:type="dxa"/>
          </w:tcPr>
          <w:p w:rsidR="00DC6F13" w:rsidRDefault="00DC6F13" w:rsidP="00DD6306">
            <w:pPr>
              <w:pStyle w:val="BodyRuller"/>
              <w:rPr>
                <w:rtl/>
              </w:rPr>
            </w:pPr>
            <w:r>
              <w:rPr>
                <w:rtl/>
              </w:rPr>
              <w:t>8. הבית הפתוח בירושלים לגאווה וסובלנות</w:t>
            </w:r>
          </w:p>
        </w:tc>
      </w:tr>
    </w:tbl>
    <w:p w:rsidR="00D00CB7" w:rsidRDefault="00D00CB7" w:rsidP="004E7A39">
      <w:pPr>
        <w:pStyle w:val="Ruller3"/>
        <w:spacing w:line="240" w:lineRule="auto"/>
      </w:pPr>
    </w:p>
    <w:tbl>
      <w:tblPr>
        <w:bidiVisual/>
        <w:tblW w:w="8363" w:type="dxa"/>
        <w:tblLook w:val="0000" w:firstRow="0" w:lastRow="0" w:firstColumn="0" w:lastColumn="0" w:noHBand="0" w:noVBand="0"/>
      </w:tblPr>
      <w:tblGrid>
        <w:gridCol w:w="3222"/>
        <w:gridCol w:w="5141"/>
      </w:tblGrid>
      <w:tr w:rsidR="00036227" w:rsidTr="0039709B">
        <w:tc>
          <w:tcPr>
            <w:tcW w:w="3284" w:type="dxa"/>
          </w:tcPr>
          <w:p w:rsidR="00036227" w:rsidRDefault="00036227">
            <w:pPr>
              <w:pStyle w:val="BodyRuller"/>
            </w:pPr>
          </w:p>
        </w:tc>
        <w:tc>
          <w:tcPr>
            <w:tcW w:w="5238" w:type="dxa"/>
          </w:tcPr>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rsidP="004E7A39">
      <w:pPr>
        <w:pStyle w:val="Ruller3"/>
        <w:spacing w:line="240" w:lineRule="auto"/>
        <w:rPr>
          <w:rtl/>
        </w:rPr>
      </w:pPr>
    </w:p>
    <w:tbl>
      <w:tblPr>
        <w:bidiVisual/>
        <w:tblW w:w="8364" w:type="dxa"/>
        <w:tblLayout w:type="fixed"/>
        <w:tblLook w:val="0000" w:firstRow="0" w:lastRow="0" w:firstColumn="0" w:lastColumn="0" w:noHBand="0" w:noVBand="0"/>
      </w:tblPr>
      <w:tblGrid>
        <w:gridCol w:w="3210"/>
        <w:gridCol w:w="5154"/>
      </w:tblGrid>
      <w:tr w:rsidR="0083345F" w:rsidTr="00DD6306">
        <w:trPr>
          <w:trHeight w:val="287"/>
        </w:trPr>
        <w:tc>
          <w:tcPr>
            <w:tcW w:w="3261" w:type="dxa"/>
          </w:tcPr>
          <w:p w:rsidR="0083345F" w:rsidRPr="00E75223" w:rsidRDefault="00DC6F13" w:rsidP="00DD6306">
            <w:pPr>
              <w:pStyle w:val="BodyRuller"/>
              <w:rPr>
                <w:rFonts w:ascii="David" w:hAnsi="David"/>
              </w:rPr>
            </w:pPr>
            <w:r>
              <w:rPr>
                <w:rFonts w:ascii="David" w:hAnsi="David"/>
                <w:rtl/>
              </w:rPr>
              <w:t>המשיבים:</w:t>
            </w:r>
          </w:p>
        </w:tc>
        <w:tc>
          <w:tcPr>
            <w:tcW w:w="5239" w:type="dxa"/>
          </w:tcPr>
          <w:p w:rsidR="0083345F" w:rsidRDefault="00DC6F13" w:rsidP="00DD6306">
            <w:pPr>
              <w:pStyle w:val="BodyRuller"/>
            </w:pPr>
            <w:r>
              <w:rPr>
                <w:rtl/>
              </w:rPr>
              <w:t>1. שר הרווחה</w:t>
            </w:r>
          </w:p>
        </w:tc>
      </w:tr>
      <w:tr w:rsidR="00DC6F13" w:rsidTr="00DD6306">
        <w:trPr>
          <w:trHeight w:val="287"/>
        </w:trPr>
        <w:tc>
          <w:tcPr>
            <w:tcW w:w="3261" w:type="dxa"/>
          </w:tcPr>
          <w:p w:rsidR="00DC6F13" w:rsidRDefault="00DC6F13" w:rsidP="00DD6306">
            <w:pPr>
              <w:pStyle w:val="BodyRuller"/>
              <w:rPr>
                <w:rFonts w:ascii="David" w:hAnsi="David"/>
                <w:rtl/>
              </w:rPr>
            </w:pPr>
          </w:p>
        </w:tc>
        <w:tc>
          <w:tcPr>
            <w:tcW w:w="5239" w:type="dxa"/>
          </w:tcPr>
          <w:p w:rsidR="00DC6F13" w:rsidRDefault="00DC6F13" w:rsidP="00DD6306">
            <w:pPr>
              <w:pStyle w:val="BodyRuller"/>
              <w:rPr>
                <w:rtl/>
              </w:rPr>
            </w:pPr>
            <w:r>
              <w:rPr>
                <w:rtl/>
              </w:rPr>
              <w:t>2. שר המשפטים</w:t>
            </w:r>
          </w:p>
        </w:tc>
      </w:tr>
      <w:tr w:rsidR="00DC6F13" w:rsidTr="00DD6306">
        <w:trPr>
          <w:trHeight w:val="287"/>
        </w:trPr>
        <w:tc>
          <w:tcPr>
            <w:tcW w:w="3261" w:type="dxa"/>
          </w:tcPr>
          <w:p w:rsidR="00DC6F13" w:rsidRDefault="00DC6F13" w:rsidP="00DD6306">
            <w:pPr>
              <w:pStyle w:val="BodyRuller"/>
              <w:rPr>
                <w:rFonts w:ascii="David" w:hAnsi="David"/>
                <w:rtl/>
              </w:rPr>
            </w:pPr>
          </w:p>
        </w:tc>
        <w:tc>
          <w:tcPr>
            <w:tcW w:w="5239" w:type="dxa"/>
          </w:tcPr>
          <w:p w:rsidR="00DC6F13" w:rsidRDefault="00DC6F13" w:rsidP="00DD6306">
            <w:pPr>
              <w:pStyle w:val="BodyRuller"/>
              <w:rPr>
                <w:rtl/>
              </w:rPr>
            </w:pPr>
            <w:r>
              <w:rPr>
                <w:rtl/>
              </w:rPr>
              <w:t>3. היועץ המשפטי לממשלה</w:t>
            </w:r>
          </w:p>
        </w:tc>
      </w:tr>
    </w:tbl>
    <w:p w:rsidR="0083345F" w:rsidRDefault="0083345F" w:rsidP="004E7A39">
      <w:pPr>
        <w:pStyle w:val="Ruller3"/>
        <w:spacing w:line="240" w:lineRule="auto"/>
      </w:pP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Pr="00265F6E" w:rsidRDefault="009E2CFD">
            <w:pPr>
              <w:pStyle w:val="BodyRuller"/>
              <w:rPr>
                <w:sz w:val="24"/>
                <w:szCs w:val="24"/>
              </w:rPr>
            </w:pPr>
            <w:r>
              <w:rPr>
                <w:rFonts w:hint="cs"/>
                <w:sz w:val="24"/>
                <w:szCs w:val="24"/>
                <w:rtl/>
              </w:rPr>
              <w:t>התנגדות לצו על-תנאי</w:t>
            </w:r>
          </w:p>
        </w:tc>
      </w:tr>
    </w:tbl>
    <w:p w:rsidR="00916FF8" w:rsidRDefault="00916FF8" w:rsidP="004E7A39">
      <w:pPr>
        <w:pStyle w:val="Ruller3"/>
        <w:spacing w:line="240" w:lineRule="auto"/>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8C2F11" w:rsidTr="00D00B1D">
        <w:tc>
          <w:tcPr>
            <w:tcW w:w="3212" w:type="dxa"/>
            <w:tcBorders>
              <w:top w:val="nil"/>
              <w:left w:val="nil"/>
              <w:bottom w:val="nil"/>
              <w:right w:val="nil"/>
            </w:tcBorders>
          </w:tcPr>
          <w:p w:rsidR="008C2F11" w:rsidRPr="00265F6E" w:rsidRDefault="008C2F11">
            <w:pPr>
              <w:pStyle w:val="BodyRuller"/>
              <w:rPr>
                <w:sz w:val="24"/>
                <w:szCs w:val="24"/>
              </w:rPr>
            </w:pPr>
            <w:r w:rsidRPr="00265F6E">
              <w:rPr>
                <w:sz w:val="24"/>
                <w:szCs w:val="24"/>
                <w:rtl/>
              </w:rPr>
              <w:t>תאריך הישיבה:</w:t>
            </w:r>
          </w:p>
        </w:tc>
        <w:tc>
          <w:tcPr>
            <w:tcW w:w="2409" w:type="dxa"/>
            <w:tcBorders>
              <w:top w:val="nil"/>
              <w:left w:val="nil"/>
              <w:bottom w:val="nil"/>
              <w:right w:val="nil"/>
            </w:tcBorders>
          </w:tcPr>
          <w:p w:rsidR="008C2F11" w:rsidRDefault="00DC6F13">
            <w:pPr>
              <w:pStyle w:val="BodyRuller"/>
              <w:rPr>
                <w:rtl/>
              </w:rPr>
            </w:pPr>
            <w:r>
              <w:rPr>
                <w:sz w:val="24"/>
                <w:szCs w:val="24"/>
                <w:rtl/>
              </w:rPr>
              <w:t xml:space="preserve">ט"ו באב </w:t>
            </w:r>
            <w:proofErr w:type="spellStart"/>
            <w:r>
              <w:rPr>
                <w:sz w:val="24"/>
                <w:szCs w:val="24"/>
                <w:rtl/>
              </w:rPr>
              <w:t>התשפ"ג</w:t>
            </w:r>
            <w:proofErr w:type="spellEnd"/>
            <w:r w:rsidR="008C2F11">
              <w:t xml:space="preserve">       </w:t>
            </w:r>
          </w:p>
        </w:tc>
        <w:tc>
          <w:tcPr>
            <w:tcW w:w="2694" w:type="dxa"/>
            <w:tcBorders>
              <w:top w:val="nil"/>
              <w:left w:val="nil"/>
              <w:bottom w:val="nil"/>
              <w:right w:val="nil"/>
            </w:tcBorders>
          </w:tcPr>
          <w:p w:rsidR="008C2F11" w:rsidRDefault="00DC6F13" w:rsidP="00B42BD6">
            <w:pPr>
              <w:pStyle w:val="BodyRuller"/>
              <w:rPr>
                <w:sz w:val="24"/>
                <w:szCs w:val="24"/>
                <w:rtl/>
              </w:rPr>
            </w:pPr>
            <w:r>
              <w:t>(2.8.2023)</w:t>
            </w:r>
            <w:r w:rsidR="00200D6B">
              <w:t xml:space="preserve"> </w:t>
            </w:r>
          </w:p>
        </w:tc>
      </w:tr>
    </w:tbl>
    <w:p w:rsidR="00916FF8" w:rsidRDefault="00916FF8" w:rsidP="004E7A39">
      <w:pPr>
        <w:pStyle w:val="Ruller3"/>
        <w:spacing w:line="240" w:lineRule="auto"/>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5149"/>
      </w:tblGrid>
      <w:tr w:rsidR="00036227" w:rsidTr="00B42BD6">
        <w:tc>
          <w:tcPr>
            <w:tcW w:w="3214" w:type="dxa"/>
            <w:tcBorders>
              <w:top w:val="nil"/>
              <w:left w:val="nil"/>
              <w:bottom w:val="nil"/>
              <w:right w:val="nil"/>
            </w:tcBorders>
          </w:tcPr>
          <w:p w:rsidR="00036227" w:rsidRDefault="00DC6F13">
            <w:pPr>
              <w:pStyle w:val="BodyRuller"/>
            </w:pPr>
            <w:r>
              <w:rPr>
                <w:rtl/>
              </w:rPr>
              <w:t>בשם העותרים:</w:t>
            </w:r>
          </w:p>
        </w:tc>
        <w:tc>
          <w:tcPr>
            <w:tcW w:w="5149" w:type="dxa"/>
            <w:tcBorders>
              <w:top w:val="nil"/>
              <w:left w:val="nil"/>
              <w:bottom w:val="nil"/>
              <w:right w:val="nil"/>
            </w:tcBorders>
          </w:tcPr>
          <w:p w:rsidR="00036227" w:rsidRDefault="00B42BD6">
            <w:pPr>
              <w:pStyle w:val="BodyRuller"/>
            </w:pPr>
            <w:r w:rsidRPr="00B42BD6">
              <w:rPr>
                <w:rtl/>
              </w:rPr>
              <w:t xml:space="preserve">עו"ד ריקי שפירא רוזנברג; עו"ד אורי </w:t>
            </w:r>
            <w:proofErr w:type="spellStart"/>
            <w:r w:rsidRPr="00B42BD6">
              <w:rPr>
                <w:rtl/>
              </w:rPr>
              <w:t>נרוב</w:t>
            </w:r>
            <w:proofErr w:type="spellEnd"/>
          </w:p>
        </w:tc>
      </w:tr>
    </w:tbl>
    <w:p w:rsidR="00916FF8" w:rsidRDefault="00916FF8" w:rsidP="004E7A39">
      <w:pPr>
        <w:pStyle w:val="Ruller3"/>
        <w:spacing w:line="240" w:lineRule="auto"/>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5148"/>
      </w:tblGrid>
      <w:tr w:rsidR="00036227" w:rsidTr="00B42BD6">
        <w:tc>
          <w:tcPr>
            <w:tcW w:w="3215" w:type="dxa"/>
            <w:tcBorders>
              <w:top w:val="nil"/>
              <w:left w:val="nil"/>
              <w:bottom w:val="nil"/>
              <w:right w:val="nil"/>
            </w:tcBorders>
          </w:tcPr>
          <w:p w:rsidR="00036227" w:rsidRDefault="00DC6F13">
            <w:pPr>
              <w:pStyle w:val="BodyRuller"/>
            </w:pPr>
            <w:r>
              <w:rPr>
                <w:rtl/>
              </w:rPr>
              <w:t>בשם המשיבים:</w:t>
            </w:r>
          </w:p>
        </w:tc>
        <w:tc>
          <w:tcPr>
            <w:tcW w:w="5148" w:type="dxa"/>
            <w:tcBorders>
              <w:top w:val="nil"/>
              <w:left w:val="nil"/>
              <w:bottom w:val="nil"/>
              <w:right w:val="nil"/>
            </w:tcBorders>
          </w:tcPr>
          <w:p w:rsidR="00036227" w:rsidRDefault="00DC6F13" w:rsidP="00B42BD6">
            <w:pPr>
              <w:pStyle w:val="BodyRuller"/>
            </w:pPr>
            <w:r>
              <w:rPr>
                <w:rtl/>
              </w:rPr>
              <w:t xml:space="preserve">עו"ד </w:t>
            </w:r>
            <w:r w:rsidR="00B42BD6">
              <w:rPr>
                <w:rFonts w:hint="cs"/>
                <w:rtl/>
              </w:rPr>
              <w:t>רן רוזנברג</w:t>
            </w:r>
          </w:p>
        </w:tc>
      </w:tr>
    </w:tbl>
    <w:p w:rsidR="00916FF8" w:rsidRDefault="00916FF8" w:rsidP="004E7A39">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DC6F13">
            <w:pPr>
              <w:pStyle w:val="DocumentHead"/>
            </w:pPr>
            <w:bookmarkStart w:id="1" w:name="secretary"/>
            <w:bookmarkStart w:id="2" w:name="BeginProtocol"/>
            <w:bookmarkEnd w:id="1"/>
            <w:bookmarkEnd w:id="2"/>
            <w:r>
              <w:rPr>
                <w:rtl/>
              </w:rPr>
              <w:t>פסק-דין</w:t>
            </w:r>
          </w:p>
        </w:tc>
      </w:tr>
    </w:tbl>
    <w:p w:rsidR="0065522F" w:rsidRDefault="0065522F">
      <w:pPr>
        <w:pStyle w:val="BODYVERDICT"/>
      </w:pPr>
    </w:p>
    <w:p w:rsidR="0046011D" w:rsidRDefault="0046011D">
      <w:pPr>
        <w:pStyle w:val="BODYVERDICT"/>
        <w:rPr>
          <w:rFonts w:ascii="Century" w:hAnsi="Century" w:cs="Miriam"/>
          <w:b/>
          <w:spacing w:val="0"/>
          <w:szCs w:val="24"/>
          <w:u w:val="single"/>
          <w:rtl/>
        </w:rPr>
      </w:pPr>
      <w:bookmarkStart w:id="3" w:name="Writer_Name"/>
      <w:bookmarkEnd w:id="3"/>
    </w:p>
    <w:p w:rsidR="00916FF8" w:rsidRPr="00B42BD6" w:rsidRDefault="00DC6F13">
      <w:pPr>
        <w:pStyle w:val="BODYVERDICT"/>
        <w:rPr>
          <w:rFonts w:ascii="Century" w:hAnsi="Century" w:cs="Miriam"/>
          <w:b/>
          <w:spacing w:val="0"/>
          <w:szCs w:val="24"/>
          <w:rtl/>
        </w:rPr>
      </w:pPr>
      <w:r w:rsidRPr="00B42BD6">
        <w:rPr>
          <w:rFonts w:ascii="Century" w:hAnsi="Century" w:cs="Miriam"/>
          <w:b/>
          <w:spacing w:val="0"/>
          <w:szCs w:val="24"/>
          <w:u w:val="single"/>
          <w:rtl/>
        </w:rPr>
        <w:t>ממלא מקום הנשיא ע' פוגלמן</w:t>
      </w:r>
      <w:r w:rsidRPr="00B42BD6">
        <w:rPr>
          <w:rFonts w:ascii="Century" w:hAnsi="Century" w:cs="Miriam"/>
          <w:b/>
          <w:spacing w:val="0"/>
          <w:szCs w:val="24"/>
          <w:rtl/>
        </w:rPr>
        <w:t>:</w:t>
      </w:r>
    </w:p>
    <w:p w:rsidR="0046011D" w:rsidRDefault="0046011D" w:rsidP="0046011D">
      <w:pPr>
        <w:pStyle w:val="Ruller4"/>
        <w:numPr>
          <w:ilvl w:val="0"/>
          <w:numId w:val="0"/>
        </w:numPr>
        <w:rPr>
          <w:rFonts w:ascii="Arial TUR" w:hAnsi="Arial TUR"/>
          <w:sz w:val="22"/>
          <w:rtl/>
        </w:rPr>
      </w:pPr>
      <w:bookmarkStart w:id="4" w:name="Start_Write"/>
      <w:bookmarkEnd w:id="4"/>
    </w:p>
    <w:p w:rsidR="0046011D" w:rsidRDefault="0046011D" w:rsidP="0046011D">
      <w:pPr>
        <w:pStyle w:val="Ruller41"/>
        <w:rPr>
          <w:rFonts w:ascii="Century" w:hAnsi="Century"/>
          <w:rtl/>
        </w:rPr>
      </w:pPr>
      <w:r>
        <w:rPr>
          <w:rtl/>
        </w:rPr>
        <w:tab/>
      </w:r>
      <w:r>
        <w:rPr>
          <w:rFonts w:hint="cs"/>
          <w:rtl/>
        </w:rPr>
        <w:t>עניינה של העתירה שלפנינו בשאלת כשירותם של בני זוג מאותו המין לאמץ ילדים, בהתאם להסדר הסטטוטורי שקבוע ב</w:t>
      </w:r>
      <w:r w:rsidRPr="00B315B1">
        <w:rPr>
          <w:rFonts w:hint="cs"/>
          <w:rtl/>
        </w:rPr>
        <w:t xml:space="preserve">חוק אימוץ ילדים, התשמ"א-1981 (להלן: </w:t>
      </w:r>
      <w:r w:rsidRPr="007B7142">
        <w:rPr>
          <w:rFonts w:ascii="Century" w:hAnsi="Century" w:cs="Miriam" w:hint="cs"/>
          <w:b/>
          <w:spacing w:val="0"/>
          <w:szCs w:val="24"/>
          <w:rtl/>
        </w:rPr>
        <w:t xml:space="preserve">חוק </w:t>
      </w:r>
      <w:r w:rsidRPr="00B315B1">
        <w:rPr>
          <w:rFonts w:ascii="Century" w:hAnsi="Century" w:cs="Miriam" w:hint="cs"/>
          <w:b/>
          <w:spacing w:val="0"/>
          <w:szCs w:val="24"/>
          <w:rtl/>
        </w:rPr>
        <w:t>האימוץ</w:t>
      </w:r>
      <w:r w:rsidRPr="00B315B1">
        <w:rPr>
          <w:rFonts w:hint="cs"/>
          <w:rtl/>
        </w:rPr>
        <w:t xml:space="preserve"> או </w:t>
      </w:r>
      <w:r w:rsidRPr="00B315B1">
        <w:rPr>
          <w:rFonts w:ascii="Century" w:hAnsi="Century" w:cs="Miriam" w:hint="cs"/>
          <w:b/>
          <w:spacing w:val="0"/>
          <w:szCs w:val="24"/>
          <w:rtl/>
        </w:rPr>
        <w:t>החוק</w:t>
      </w:r>
      <w:r w:rsidRPr="00B315B1">
        <w:rPr>
          <w:rFonts w:hint="cs"/>
          <w:rtl/>
        </w:rPr>
        <w:t>)</w:t>
      </w:r>
      <w:r>
        <w:rPr>
          <w:rFonts w:hint="cs"/>
          <w:rtl/>
        </w:rPr>
        <w:t xml:space="preserve">. </w:t>
      </w:r>
    </w:p>
    <w:p w:rsidR="004E7A39" w:rsidRDefault="004E7A39">
      <w:pPr>
        <w:overflowPunct/>
        <w:autoSpaceDE/>
        <w:autoSpaceDN/>
        <w:bidi w:val="0"/>
        <w:adjustRightInd/>
        <w:textAlignment w:val="auto"/>
        <w:rPr>
          <w:rFonts w:ascii="Century" w:hAnsi="Century" w:cs="Miriam"/>
          <w:b/>
          <w:sz w:val="22"/>
        </w:rPr>
      </w:pPr>
      <w:r>
        <w:rPr>
          <w:rFonts w:ascii="Century" w:hAnsi="Century" w:cs="Miriam"/>
          <w:b/>
          <w:rtl/>
        </w:rPr>
        <w:br w:type="page"/>
      </w:r>
    </w:p>
    <w:p w:rsidR="0046011D" w:rsidRDefault="0046011D" w:rsidP="0046011D">
      <w:pPr>
        <w:pStyle w:val="Ruller41"/>
        <w:rPr>
          <w:rFonts w:ascii="Century" w:hAnsi="Century" w:cs="Miriam"/>
          <w:b/>
          <w:spacing w:val="0"/>
          <w:szCs w:val="24"/>
          <w:rtl/>
        </w:rPr>
      </w:pPr>
      <w:r>
        <w:rPr>
          <w:rFonts w:ascii="Century" w:hAnsi="Century" w:cs="Miriam" w:hint="cs"/>
          <w:b/>
          <w:spacing w:val="0"/>
          <w:szCs w:val="24"/>
          <w:rtl/>
        </w:rPr>
        <w:lastRenderedPageBreak/>
        <w:t>רקע נורמטיבי</w:t>
      </w:r>
    </w:p>
    <w:p w:rsidR="0046011D" w:rsidRDefault="0046011D" w:rsidP="0046011D">
      <w:pPr>
        <w:pStyle w:val="Ruller41"/>
        <w:rPr>
          <w:rFonts w:ascii="Century" w:hAnsi="Century" w:cs="Miriam"/>
          <w:b/>
          <w:spacing w:val="0"/>
          <w:szCs w:val="24"/>
          <w:rtl/>
        </w:rPr>
      </w:pPr>
    </w:p>
    <w:p w:rsidR="0046011D" w:rsidRDefault="0046011D" w:rsidP="0046011D">
      <w:pPr>
        <w:pStyle w:val="Ruller4"/>
        <w:rPr>
          <w:rtl/>
        </w:rPr>
      </w:pPr>
      <w:r>
        <w:rPr>
          <w:rFonts w:hint="cs"/>
          <w:rtl/>
        </w:rPr>
        <w:t xml:space="preserve">חוק אימוץ ילדים קובע את </w:t>
      </w:r>
      <w:r w:rsidRPr="000D4CB3">
        <w:rPr>
          <w:rFonts w:hint="eastAsia"/>
          <w:rtl/>
        </w:rPr>
        <w:t>המסגרת</w:t>
      </w:r>
      <w:r w:rsidRPr="000D4CB3">
        <w:rPr>
          <w:rtl/>
        </w:rPr>
        <w:t xml:space="preserve"> </w:t>
      </w:r>
      <w:r w:rsidRPr="000D4CB3">
        <w:rPr>
          <w:rFonts w:hint="eastAsia"/>
          <w:rtl/>
        </w:rPr>
        <w:t>החקיקתית</w:t>
      </w:r>
      <w:r w:rsidRPr="000D4CB3">
        <w:rPr>
          <w:rtl/>
        </w:rPr>
        <w:t xml:space="preserve"> </w:t>
      </w:r>
      <w:r>
        <w:rPr>
          <w:rFonts w:hint="cs"/>
          <w:rtl/>
        </w:rPr>
        <w:t>ש</w:t>
      </w:r>
      <w:r w:rsidRPr="000D4CB3">
        <w:rPr>
          <w:rFonts w:hint="eastAsia"/>
          <w:rtl/>
        </w:rPr>
        <w:t>מסדירה</w:t>
      </w:r>
      <w:r w:rsidRPr="000D4CB3">
        <w:rPr>
          <w:rtl/>
        </w:rPr>
        <w:t xml:space="preserve"> </w:t>
      </w:r>
      <w:r w:rsidRPr="000D4CB3">
        <w:rPr>
          <w:rFonts w:hint="eastAsia"/>
          <w:rtl/>
        </w:rPr>
        <w:t>את</w:t>
      </w:r>
      <w:r w:rsidRPr="000D4CB3">
        <w:rPr>
          <w:rtl/>
        </w:rPr>
        <w:t xml:space="preserve"> </w:t>
      </w:r>
      <w:r w:rsidRPr="000D4CB3">
        <w:rPr>
          <w:rFonts w:hint="eastAsia"/>
          <w:rtl/>
        </w:rPr>
        <w:t>הליכי</w:t>
      </w:r>
      <w:r w:rsidRPr="000D4CB3">
        <w:rPr>
          <w:rtl/>
        </w:rPr>
        <w:t xml:space="preserve"> </w:t>
      </w:r>
      <w:r w:rsidRPr="000D4CB3">
        <w:rPr>
          <w:rFonts w:hint="eastAsia"/>
          <w:rtl/>
        </w:rPr>
        <w:t>אימוץ</w:t>
      </w:r>
      <w:r w:rsidRPr="000D4CB3">
        <w:rPr>
          <w:rtl/>
        </w:rPr>
        <w:t xml:space="preserve"> </w:t>
      </w:r>
      <w:r w:rsidRPr="000D4CB3">
        <w:rPr>
          <w:rFonts w:hint="eastAsia"/>
          <w:rtl/>
        </w:rPr>
        <w:t>ילדים</w:t>
      </w:r>
      <w:r w:rsidRPr="000D4CB3">
        <w:rPr>
          <w:rtl/>
        </w:rPr>
        <w:t xml:space="preserve"> </w:t>
      </w:r>
      <w:r w:rsidRPr="000D4CB3">
        <w:rPr>
          <w:rFonts w:hint="eastAsia"/>
          <w:rtl/>
        </w:rPr>
        <w:t>בישראל</w:t>
      </w:r>
      <w:r w:rsidRPr="000D4CB3">
        <w:rPr>
          <w:rtl/>
        </w:rPr>
        <w:t>.</w:t>
      </w:r>
      <w:r>
        <w:rPr>
          <w:rFonts w:hint="cs"/>
          <w:rtl/>
        </w:rPr>
        <w:t xml:space="preserve"> בתוך כך, החוק מסדיר את תנאי האימוץ, לרבות עילות האימוץ, ה</w:t>
      </w:r>
      <w:r w:rsidRPr="000D4CB3">
        <w:rPr>
          <w:rFonts w:hint="eastAsia"/>
          <w:rtl/>
        </w:rPr>
        <w:t>שלבים</w:t>
      </w:r>
      <w:r w:rsidRPr="000D4CB3">
        <w:rPr>
          <w:rtl/>
        </w:rPr>
        <w:t xml:space="preserve"> </w:t>
      </w:r>
      <w:r w:rsidRPr="000D4CB3">
        <w:rPr>
          <w:rFonts w:hint="eastAsia"/>
          <w:rtl/>
        </w:rPr>
        <w:t>הנדרשים</w:t>
      </w:r>
      <w:r w:rsidRPr="000D4CB3">
        <w:rPr>
          <w:rtl/>
        </w:rPr>
        <w:t xml:space="preserve"> </w:t>
      </w:r>
      <w:r>
        <w:rPr>
          <w:rFonts w:hint="eastAsia"/>
          <w:rtl/>
        </w:rPr>
        <w:t>ב</w:t>
      </w:r>
      <w:r w:rsidRPr="000D4CB3">
        <w:rPr>
          <w:rFonts w:hint="eastAsia"/>
          <w:rtl/>
        </w:rPr>
        <w:t>הליך</w:t>
      </w:r>
      <w:r w:rsidRPr="000D4CB3">
        <w:rPr>
          <w:rtl/>
        </w:rPr>
        <w:t xml:space="preserve"> </w:t>
      </w:r>
      <w:r w:rsidRPr="000D4CB3">
        <w:rPr>
          <w:rFonts w:hint="eastAsia"/>
          <w:rtl/>
        </w:rPr>
        <w:t>האימוץ</w:t>
      </w:r>
      <w:r>
        <w:rPr>
          <w:rtl/>
        </w:rPr>
        <w:t>,</w:t>
      </w:r>
      <w:r>
        <w:rPr>
          <w:rFonts w:hint="cs"/>
          <w:rtl/>
        </w:rPr>
        <w:t xml:space="preserve"> ותוצאות האימוץ. </w:t>
      </w:r>
      <w:r w:rsidRPr="000D4CB3">
        <w:rPr>
          <w:rFonts w:hint="eastAsia"/>
          <w:rtl/>
        </w:rPr>
        <w:t>במוקד</w:t>
      </w:r>
      <w:r w:rsidRPr="000D4CB3">
        <w:rPr>
          <w:rtl/>
        </w:rPr>
        <w:t xml:space="preserve"> </w:t>
      </w:r>
      <w:r w:rsidRPr="000D4CB3">
        <w:rPr>
          <w:rFonts w:hint="eastAsia"/>
          <w:rtl/>
        </w:rPr>
        <w:t>העתירה</w:t>
      </w:r>
      <w:r w:rsidRPr="000D4CB3">
        <w:rPr>
          <w:rtl/>
        </w:rPr>
        <w:t xml:space="preserve"> </w:t>
      </w:r>
      <w:r w:rsidRPr="000D4CB3">
        <w:rPr>
          <w:rFonts w:hint="eastAsia"/>
          <w:rtl/>
        </w:rPr>
        <w:t>שלפנינו</w:t>
      </w:r>
      <w:r w:rsidRPr="000D4CB3">
        <w:rPr>
          <w:rtl/>
        </w:rPr>
        <w:t xml:space="preserve"> </w:t>
      </w:r>
      <w:r>
        <w:rPr>
          <w:rFonts w:hint="eastAsia"/>
          <w:rtl/>
        </w:rPr>
        <w:t>ניצ</w:t>
      </w:r>
      <w:r>
        <w:rPr>
          <w:rFonts w:hint="cs"/>
          <w:rtl/>
        </w:rPr>
        <w:t xml:space="preserve">בת ההוראה שקבועה בסעיף 3 לחוק, ועניינה בתנאי הכשירות לאמץ. זו לשונו של הסעיף (ההדגשה הוספה </w:t>
      </w:r>
      <w:r>
        <w:rPr>
          <w:rtl/>
        </w:rPr>
        <w:t>–</w:t>
      </w:r>
      <w:r>
        <w:rPr>
          <w:rFonts w:hint="cs"/>
          <w:rtl/>
        </w:rPr>
        <w:t xml:space="preserve"> ע' פ'):</w:t>
      </w:r>
    </w:p>
    <w:p w:rsidR="0046011D" w:rsidRPr="00530DD8" w:rsidRDefault="0046011D" w:rsidP="0046011D">
      <w:pPr>
        <w:pStyle w:val="Ruller41"/>
        <w:rPr>
          <w:rtl/>
        </w:rPr>
      </w:pPr>
    </w:p>
    <w:tbl>
      <w:tblPr>
        <w:bidiVisual/>
        <w:tblW w:w="0" w:type="auto"/>
        <w:jc w:val="center"/>
        <w:tblLook w:val="01E0" w:firstRow="1" w:lastRow="1" w:firstColumn="1" w:lastColumn="1" w:noHBand="0" w:noVBand="0"/>
      </w:tblPr>
      <w:tblGrid>
        <w:gridCol w:w="1276"/>
        <w:gridCol w:w="4253"/>
      </w:tblGrid>
      <w:tr w:rsidR="0046011D" w:rsidTr="00B40317">
        <w:trPr>
          <w:jc w:val="center"/>
        </w:trPr>
        <w:tc>
          <w:tcPr>
            <w:tcW w:w="1276" w:type="dxa"/>
          </w:tcPr>
          <w:p w:rsidR="0046011D" w:rsidRPr="00FF6086" w:rsidRDefault="0046011D" w:rsidP="00B40317">
            <w:pPr>
              <w:spacing w:before="80" w:after="120" w:line="160" w:lineRule="exact"/>
              <w:rPr>
                <w:rFonts w:cs="Miriam"/>
                <w:sz w:val="22"/>
                <w:szCs w:val="22"/>
              </w:rPr>
            </w:pPr>
            <w:r w:rsidRPr="00FF6086">
              <w:rPr>
                <w:rFonts w:cs="Miriam" w:hint="cs"/>
                <w:sz w:val="22"/>
                <w:szCs w:val="22"/>
                <w:rtl/>
              </w:rPr>
              <w:t>כשירות המאמץ</w:t>
            </w:r>
          </w:p>
        </w:tc>
        <w:tc>
          <w:tcPr>
            <w:tcW w:w="4253" w:type="dxa"/>
          </w:tcPr>
          <w:p w:rsidR="0046011D" w:rsidRPr="00530DD8" w:rsidRDefault="0046011D" w:rsidP="00B40317">
            <w:pPr>
              <w:pStyle w:val="Ruller41"/>
              <w:spacing w:line="240" w:lineRule="auto"/>
              <w:rPr>
                <w:rFonts w:ascii="Century" w:hAnsi="Century"/>
                <w:rtl/>
              </w:rPr>
            </w:pPr>
            <w:r>
              <w:rPr>
                <w:rFonts w:ascii="Century" w:hAnsi="Century" w:hint="cs"/>
                <w:rtl/>
              </w:rPr>
              <w:t xml:space="preserve">3. </w:t>
            </w:r>
            <w:r w:rsidRPr="00015456">
              <w:rPr>
                <w:rFonts w:ascii="Century" w:hAnsi="Century" w:cs="Miriam" w:hint="eastAsia"/>
                <w:b/>
                <w:spacing w:val="0"/>
                <w:szCs w:val="24"/>
                <w:rtl/>
              </w:rPr>
              <w:t>אין</w:t>
            </w:r>
            <w:r w:rsidRPr="00015456">
              <w:rPr>
                <w:rFonts w:ascii="Century" w:hAnsi="Century" w:cs="Miriam"/>
                <w:b/>
                <w:spacing w:val="0"/>
                <w:szCs w:val="24"/>
                <w:rtl/>
              </w:rPr>
              <w:t xml:space="preserve"> </w:t>
            </w:r>
            <w:r w:rsidRPr="00015456">
              <w:rPr>
                <w:rFonts w:ascii="Century" w:hAnsi="Century" w:cs="Miriam" w:hint="eastAsia"/>
                <w:b/>
                <w:spacing w:val="0"/>
                <w:szCs w:val="24"/>
                <w:rtl/>
              </w:rPr>
              <w:t>אימוץ</w:t>
            </w:r>
            <w:r w:rsidRPr="00015456">
              <w:rPr>
                <w:rFonts w:ascii="Century" w:hAnsi="Century" w:cs="Miriam"/>
                <w:b/>
                <w:spacing w:val="0"/>
                <w:szCs w:val="24"/>
                <w:rtl/>
              </w:rPr>
              <w:t xml:space="preserve"> </w:t>
            </w:r>
            <w:r w:rsidRPr="00015456">
              <w:rPr>
                <w:rFonts w:ascii="Century" w:hAnsi="Century" w:cs="Miriam" w:hint="eastAsia"/>
                <w:b/>
                <w:spacing w:val="0"/>
                <w:szCs w:val="24"/>
                <w:rtl/>
              </w:rPr>
              <w:t>אלא</w:t>
            </w:r>
            <w:r w:rsidRPr="00015456">
              <w:rPr>
                <w:rFonts w:ascii="Century" w:hAnsi="Century" w:cs="Miriam"/>
                <w:b/>
                <w:spacing w:val="0"/>
                <w:szCs w:val="24"/>
                <w:rtl/>
              </w:rPr>
              <w:t xml:space="preserve"> </w:t>
            </w:r>
            <w:r w:rsidRPr="00015456">
              <w:rPr>
                <w:rFonts w:ascii="Century" w:hAnsi="Century" w:cs="Miriam" w:hint="eastAsia"/>
                <w:b/>
                <w:spacing w:val="0"/>
                <w:szCs w:val="24"/>
                <w:rtl/>
              </w:rPr>
              <w:t>על</w:t>
            </w:r>
            <w:r w:rsidRPr="00015456">
              <w:rPr>
                <w:rFonts w:ascii="Century" w:hAnsi="Century" w:cs="Miriam"/>
                <w:b/>
                <w:spacing w:val="0"/>
                <w:szCs w:val="24"/>
                <w:rtl/>
              </w:rPr>
              <w:t xml:space="preserve"> </w:t>
            </w:r>
            <w:r w:rsidRPr="00015456">
              <w:rPr>
                <w:rFonts w:ascii="Century" w:hAnsi="Century" w:cs="Miriam" w:hint="eastAsia"/>
                <w:b/>
                <w:spacing w:val="0"/>
                <w:szCs w:val="24"/>
                <w:rtl/>
              </w:rPr>
              <w:t>ידי</w:t>
            </w:r>
            <w:r w:rsidRPr="00015456">
              <w:rPr>
                <w:rFonts w:ascii="Century" w:hAnsi="Century" w:cs="Miriam"/>
                <w:b/>
                <w:spacing w:val="0"/>
                <w:szCs w:val="24"/>
                <w:rtl/>
              </w:rPr>
              <w:t xml:space="preserve"> </w:t>
            </w:r>
            <w:r w:rsidRPr="00015456">
              <w:rPr>
                <w:rFonts w:ascii="Century" w:hAnsi="Century" w:cs="Miriam" w:hint="eastAsia"/>
                <w:b/>
                <w:spacing w:val="0"/>
                <w:szCs w:val="24"/>
                <w:rtl/>
              </w:rPr>
              <w:t>איש</w:t>
            </w:r>
            <w:r w:rsidRPr="00015456">
              <w:rPr>
                <w:rFonts w:ascii="Century" w:hAnsi="Century" w:cs="Miriam"/>
                <w:b/>
                <w:spacing w:val="0"/>
                <w:szCs w:val="24"/>
                <w:rtl/>
              </w:rPr>
              <w:t xml:space="preserve"> </w:t>
            </w:r>
            <w:r w:rsidRPr="00015456">
              <w:rPr>
                <w:rFonts w:ascii="Century" w:hAnsi="Century" w:cs="Miriam" w:hint="eastAsia"/>
                <w:b/>
                <w:spacing w:val="0"/>
                <w:szCs w:val="24"/>
                <w:rtl/>
              </w:rPr>
              <w:t>ואשתו</w:t>
            </w:r>
            <w:r w:rsidRPr="00015456">
              <w:rPr>
                <w:rFonts w:ascii="Century" w:hAnsi="Century" w:cs="Miriam"/>
                <w:b/>
                <w:spacing w:val="0"/>
                <w:szCs w:val="24"/>
                <w:rtl/>
              </w:rPr>
              <w:t xml:space="preserve"> </w:t>
            </w:r>
            <w:r w:rsidRPr="00015456">
              <w:rPr>
                <w:rFonts w:ascii="Century" w:hAnsi="Century" w:cs="Miriam" w:hint="eastAsia"/>
                <w:b/>
                <w:spacing w:val="0"/>
                <w:szCs w:val="24"/>
                <w:rtl/>
              </w:rPr>
              <w:t>יחד</w:t>
            </w:r>
            <w:r w:rsidRPr="00FF6086">
              <w:rPr>
                <w:rFonts w:ascii="Century" w:hAnsi="Century"/>
                <w:rtl/>
              </w:rPr>
              <w:t xml:space="preserve">; </w:t>
            </w:r>
            <w:r w:rsidRPr="00FF6086">
              <w:rPr>
                <w:rFonts w:ascii="Century" w:hAnsi="Century" w:hint="eastAsia"/>
                <w:rtl/>
              </w:rPr>
              <w:t>ואולם</w:t>
            </w:r>
            <w:r w:rsidRPr="00FF6086">
              <w:rPr>
                <w:rFonts w:ascii="Century" w:hAnsi="Century"/>
                <w:rtl/>
              </w:rPr>
              <w:t xml:space="preserve"> </w:t>
            </w:r>
            <w:r w:rsidRPr="00FF6086">
              <w:rPr>
                <w:rFonts w:ascii="Century" w:hAnsi="Century" w:hint="eastAsia"/>
                <w:rtl/>
              </w:rPr>
              <w:t>רשאי</w:t>
            </w:r>
            <w:r w:rsidRPr="00FF6086">
              <w:rPr>
                <w:rFonts w:ascii="Century" w:hAnsi="Century"/>
                <w:rtl/>
              </w:rPr>
              <w:t xml:space="preserve"> </w:t>
            </w:r>
            <w:r w:rsidRPr="00FF6086">
              <w:rPr>
                <w:rFonts w:ascii="Century" w:hAnsi="Century" w:hint="eastAsia"/>
                <w:rtl/>
              </w:rPr>
              <w:t>בית</w:t>
            </w:r>
            <w:r w:rsidRPr="00FF6086">
              <w:rPr>
                <w:rFonts w:ascii="Century" w:hAnsi="Century"/>
                <w:rtl/>
              </w:rPr>
              <w:t xml:space="preserve"> </w:t>
            </w:r>
            <w:r w:rsidRPr="00FF6086">
              <w:rPr>
                <w:rFonts w:ascii="Century" w:hAnsi="Century" w:hint="eastAsia"/>
                <w:rtl/>
              </w:rPr>
              <w:t>משפט</w:t>
            </w:r>
            <w:r w:rsidRPr="00FF6086">
              <w:rPr>
                <w:rFonts w:ascii="Century" w:hAnsi="Century"/>
                <w:rtl/>
              </w:rPr>
              <w:t xml:space="preserve"> </w:t>
            </w:r>
            <w:proofErr w:type="spellStart"/>
            <w:r w:rsidRPr="00FF6086">
              <w:rPr>
                <w:rFonts w:ascii="Century" w:hAnsi="Century" w:hint="eastAsia"/>
                <w:rtl/>
              </w:rPr>
              <w:t>ליתן</w:t>
            </w:r>
            <w:proofErr w:type="spellEnd"/>
            <w:r w:rsidRPr="00FF6086">
              <w:rPr>
                <w:rFonts w:ascii="Century" w:hAnsi="Century"/>
                <w:rtl/>
              </w:rPr>
              <w:t xml:space="preserve"> </w:t>
            </w:r>
            <w:r w:rsidRPr="00FF6086">
              <w:rPr>
                <w:rFonts w:ascii="Century" w:hAnsi="Century" w:hint="eastAsia"/>
                <w:rtl/>
              </w:rPr>
              <w:t>צו</w:t>
            </w:r>
            <w:r w:rsidRPr="00FF6086">
              <w:rPr>
                <w:rFonts w:ascii="Century" w:hAnsi="Century"/>
                <w:rtl/>
              </w:rPr>
              <w:t xml:space="preserve"> </w:t>
            </w:r>
            <w:r w:rsidRPr="00FF6086">
              <w:rPr>
                <w:rFonts w:ascii="Century" w:hAnsi="Century" w:hint="eastAsia"/>
                <w:rtl/>
              </w:rPr>
              <w:t>אימוץ</w:t>
            </w:r>
            <w:r w:rsidRPr="00FF6086">
              <w:rPr>
                <w:rFonts w:ascii="Century" w:hAnsi="Century"/>
                <w:rtl/>
              </w:rPr>
              <w:t xml:space="preserve"> </w:t>
            </w:r>
            <w:r w:rsidRPr="00530DD8">
              <w:rPr>
                <w:rFonts w:ascii="Century" w:hAnsi="Century" w:hint="eastAsia"/>
                <w:rtl/>
              </w:rPr>
              <w:t>למאמץ</w:t>
            </w:r>
            <w:r w:rsidRPr="00530DD8">
              <w:rPr>
                <w:rFonts w:ascii="Century" w:hAnsi="Century"/>
                <w:rtl/>
              </w:rPr>
              <w:t xml:space="preserve"> </w:t>
            </w:r>
            <w:r w:rsidRPr="00530DD8">
              <w:rPr>
                <w:rFonts w:ascii="Century" w:hAnsi="Century" w:hint="eastAsia"/>
                <w:rtl/>
              </w:rPr>
              <w:t>יחיד</w:t>
            </w:r>
            <w:r w:rsidRPr="00530DD8">
              <w:rPr>
                <w:rFonts w:ascii="Century" w:hAnsi="Century"/>
                <w:rtl/>
              </w:rPr>
              <w:t xml:space="preserve"> –</w:t>
            </w:r>
          </w:p>
          <w:p w:rsidR="0046011D" w:rsidRPr="00FF6086" w:rsidRDefault="0046011D" w:rsidP="00B40317">
            <w:pPr>
              <w:pStyle w:val="Ruller41"/>
              <w:spacing w:line="240" w:lineRule="auto"/>
              <w:rPr>
                <w:rFonts w:ascii="Century" w:hAnsi="Century"/>
                <w:rtl/>
              </w:rPr>
            </w:pPr>
          </w:p>
          <w:p w:rsidR="0046011D" w:rsidRDefault="0046011D" w:rsidP="00B40317">
            <w:pPr>
              <w:pStyle w:val="Ruller41"/>
              <w:spacing w:line="240" w:lineRule="auto"/>
              <w:ind w:left="459"/>
              <w:rPr>
                <w:rFonts w:ascii="Century" w:hAnsi="Century"/>
                <w:rtl/>
              </w:rPr>
            </w:pPr>
            <w:r>
              <w:rPr>
                <w:rFonts w:ascii="Century" w:hAnsi="Century" w:hint="cs"/>
                <w:rtl/>
              </w:rPr>
              <w:t>(1)</w:t>
            </w:r>
            <w:r>
              <w:rPr>
                <w:rFonts w:ascii="Century" w:hAnsi="Century" w:hint="cs"/>
              </w:rPr>
              <w:t xml:space="preserve"> </w:t>
            </w:r>
            <w:r w:rsidRPr="00FF6086">
              <w:rPr>
                <w:rFonts w:ascii="Century" w:hAnsi="Century" w:hint="eastAsia"/>
                <w:rtl/>
              </w:rPr>
              <w:t>אם</w:t>
            </w:r>
            <w:r w:rsidRPr="00FF6086">
              <w:rPr>
                <w:rFonts w:ascii="Century" w:hAnsi="Century"/>
                <w:rtl/>
              </w:rPr>
              <w:t xml:space="preserve"> </w:t>
            </w:r>
            <w:r w:rsidRPr="00FF6086">
              <w:rPr>
                <w:rFonts w:ascii="Century" w:hAnsi="Century" w:hint="eastAsia"/>
                <w:rtl/>
              </w:rPr>
              <w:t>בן</w:t>
            </w:r>
            <w:r w:rsidRPr="00FF6086">
              <w:rPr>
                <w:rFonts w:ascii="Century" w:hAnsi="Century"/>
                <w:rtl/>
              </w:rPr>
              <w:t xml:space="preserve"> </w:t>
            </w:r>
            <w:r w:rsidRPr="00FF6086">
              <w:rPr>
                <w:rFonts w:ascii="Century" w:hAnsi="Century" w:hint="eastAsia"/>
                <w:rtl/>
              </w:rPr>
              <w:t>זוגו</w:t>
            </w:r>
            <w:r w:rsidRPr="00FF6086">
              <w:rPr>
                <w:rFonts w:ascii="Century" w:hAnsi="Century"/>
                <w:rtl/>
              </w:rPr>
              <w:t xml:space="preserve"> </w:t>
            </w:r>
            <w:r w:rsidRPr="00FF6086">
              <w:rPr>
                <w:rFonts w:ascii="Century" w:hAnsi="Century" w:hint="eastAsia"/>
                <w:rtl/>
              </w:rPr>
              <w:t>הוא</w:t>
            </w:r>
            <w:r w:rsidRPr="00FF6086">
              <w:rPr>
                <w:rFonts w:ascii="Century" w:hAnsi="Century"/>
                <w:rtl/>
              </w:rPr>
              <w:t xml:space="preserve"> </w:t>
            </w:r>
            <w:r w:rsidRPr="00FF6086">
              <w:rPr>
                <w:rFonts w:ascii="Century" w:hAnsi="Century" w:hint="eastAsia"/>
                <w:rtl/>
              </w:rPr>
              <w:t>הורה</w:t>
            </w:r>
            <w:r w:rsidRPr="00FF6086">
              <w:rPr>
                <w:rFonts w:ascii="Century" w:hAnsi="Century"/>
                <w:rtl/>
              </w:rPr>
              <w:t xml:space="preserve"> </w:t>
            </w:r>
            <w:r w:rsidRPr="00FF6086">
              <w:rPr>
                <w:rFonts w:ascii="Century" w:hAnsi="Century" w:hint="eastAsia"/>
                <w:rtl/>
              </w:rPr>
              <w:t>המאומץ</w:t>
            </w:r>
            <w:r w:rsidRPr="00FF6086">
              <w:rPr>
                <w:rFonts w:ascii="Century" w:hAnsi="Century"/>
                <w:rtl/>
              </w:rPr>
              <w:t xml:space="preserve"> </w:t>
            </w:r>
            <w:r w:rsidRPr="00FF6086">
              <w:rPr>
                <w:rFonts w:ascii="Century" w:hAnsi="Century" w:hint="eastAsia"/>
                <w:rtl/>
              </w:rPr>
              <w:t>או</w:t>
            </w:r>
            <w:r w:rsidRPr="00FF6086">
              <w:rPr>
                <w:rFonts w:ascii="Century" w:hAnsi="Century"/>
                <w:rtl/>
              </w:rPr>
              <w:t xml:space="preserve"> </w:t>
            </w:r>
            <w:r w:rsidRPr="00FF6086">
              <w:rPr>
                <w:rFonts w:ascii="Century" w:hAnsi="Century" w:hint="eastAsia"/>
                <w:rtl/>
              </w:rPr>
              <w:t>אימץ</w:t>
            </w:r>
            <w:r w:rsidRPr="00FF6086">
              <w:rPr>
                <w:rFonts w:ascii="Century" w:hAnsi="Century"/>
                <w:rtl/>
              </w:rPr>
              <w:t xml:space="preserve"> </w:t>
            </w:r>
            <w:r w:rsidRPr="00FF6086">
              <w:rPr>
                <w:rFonts w:ascii="Century" w:hAnsi="Century" w:hint="eastAsia"/>
                <w:rtl/>
              </w:rPr>
              <w:t>אותו</w:t>
            </w:r>
            <w:r w:rsidRPr="00FF6086">
              <w:rPr>
                <w:rFonts w:ascii="Century" w:hAnsi="Century"/>
                <w:rtl/>
              </w:rPr>
              <w:t xml:space="preserve"> </w:t>
            </w:r>
            <w:r w:rsidRPr="00FF6086">
              <w:rPr>
                <w:rFonts w:ascii="Century" w:hAnsi="Century" w:hint="eastAsia"/>
                <w:rtl/>
              </w:rPr>
              <w:t>לפני</w:t>
            </w:r>
            <w:r w:rsidRPr="00FF6086">
              <w:rPr>
                <w:rFonts w:ascii="Century" w:hAnsi="Century"/>
                <w:rtl/>
              </w:rPr>
              <w:t xml:space="preserve"> </w:t>
            </w:r>
            <w:r w:rsidRPr="00FF6086">
              <w:rPr>
                <w:rFonts w:ascii="Century" w:hAnsi="Century" w:hint="eastAsia"/>
                <w:rtl/>
              </w:rPr>
              <w:t>כן</w:t>
            </w:r>
            <w:r w:rsidRPr="00FF6086">
              <w:rPr>
                <w:rFonts w:ascii="Century" w:hAnsi="Century"/>
                <w:rtl/>
              </w:rPr>
              <w:t>;</w:t>
            </w:r>
          </w:p>
          <w:p w:rsidR="0046011D" w:rsidRDefault="0046011D" w:rsidP="00B40317">
            <w:pPr>
              <w:pStyle w:val="Ruller41"/>
              <w:spacing w:line="240" w:lineRule="auto"/>
              <w:rPr>
                <w:rFonts w:ascii="Century" w:hAnsi="Century"/>
                <w:rtl/>
              </w:rPr>
            </w:pPr>
          </w:p>
          <w:p w:rsidR="0046011D" w:rsidRPr="00FF6086" w:rsidRDefault="0046011D" w:rsidP="00B40317">
            <w:pPr>
              <w:pStyle w:val="Ruller41"/>
              <w:spacing w:line="240" w:lineRule="auto"/>
              <w:ind w:left="459"/>
              <w:rPr>
                <w:rFonts w:ascii="Century" w:hAnsi="Century"/>
              </w:rPr>
            </w:pPr>
            <w:r>
              <w:rPr>
                <w:rFonts w:ascii="Century" w:hAnsi="Century" w:hint="cs"/>
                <w:rtl/>
              </w:rPr>
              <w:t>(2)</w:t>
            </w:r>
            <w:r>
              <w:rPr>
                <w:rFonts w:ascii="Century" w:hAnsi="Century" w:hint="cs"/>
              </w:rPr>
              <w:t xml:space="preserve"> </w:t>
            </w:r>
            <w:r w:rsidRPr="00FF6086">
              <w:rPr>
                <w:rFonts w:ascii="Century" w:hAnsi="Century" w:hint="eastAsia"/>
                <w:rtl/>
              </w:rPr>
              <w:t>אם</w:t>
            </w:r>
            <w:r w:rsidRPr="00FF6086">
              <w:rPr>
                <w:rFonts w:ascii="Century" w:hAnsi="Century"/>
                <w:rtl/>
              </w:rPr>
              <w:t xml:space="preserve"> </w:t>
            </w:r>
            <w:r w:rsidRPr="00FF6086">
              <w:rPr>
                <w:rFonts w:ascii="Century" w:hAnsi="Century" w:hint="eastAsia"/>
                <w:rtl/>
              </w:rPr>
              <w:t>הורי</w:t>
            </w:r>
            <w:r w:rsidRPr="00FF6086">
              <w:rPr>
                <w:rFonts w:ascii="Century" w:hAnsi="Century"/>
                <w:rtl/>
              </w:rPr>
              <w:t xml:space="preserve"> </w:t>
            </w:r>
            <w:r w:rsidRPr="00FF6086">
              <w:rPr>
                <w:rFonts w:ascii="Century" w:hAnsi="Century" w:hint="eastAsia"/>
                <w:rtl/>
              </w:rPr>
              <w:t>המאומץ</w:t>
            </w:r>
            <w:r w:rsidRPr="00FF6086">
              <w:rPr>
                <w:rFonts w:ascii="Century" w:hAnsi="Century"/>
                <w:rtl/>
              </w:rPr>
              <w:t xml:space="preserve"> </w:t>
            </w:r>
            <w:r w:rsidRPr="00FF6086">
              <w:rPr>
                <w:rFonts w:ascii="Century" w:hAnsi="Century" w:hint="eastAsia"/>
                <w:rtl/>
              </w:rPr>
              <w:t>נפטרו</w:t>
            </w:r>
            <w:r w:rsidRPr="00FF6086">
              <w:rPr>
                <w:rFonts w:ascii="Century" w:hAnsi="Century"/>
                <w:rtl/>
              </w:rPr>
              <w:t xml:space="preserve"> </w:t>
            </w:r>
            <w:r w:rsidRPr="00FF6086">
              <w:rPr>
                <w:rFonts w:ascii="Century" w:hAnsi="Century" w:hint="eastAsia"/>
                <w:rtl/>
              </w:rPr>
              <w:t>והמאמץ</w:t>
            </w:r>
            <w:r w:rsidRPr="00FF6086">
              <w:rPr>
                <w:rFonts w:ascii="Century" w:hAnsi="Century"/>
                <w:rtl/>
              </w:rPr>
              <w:t xml:space="preserve"> </w:t>
            </w:r>
            <w:r w:rsidRPr="00FF6086">
              <w:rPr>
                <w:rFonts w:ascii="Century" w:hAnsi="Century" w:hint="eastAsia"/>
                <w:rtl/>
              </w:rPr>
              <w:t>הוא</w:t>
            </w:r>
            <w:r w:rsidRPr="00FF6086">
              <w:rPr>
                <w:rFonts w:ascii="Century" w:hAnsi="Century"/>
                <w:rtl/>
              </w:rPr>
              <w:t xml:space="preserve"> </w:t>
            </w:r>
            <w:r w:rsidRPr="00FF6086">
              <w:rPr>
                <w:rFonts w:ascii="Century" w:hAnsi="Century" w:hint="eastAsia"/>
                <w:rtl/>
              </w:rPr>
              <w:t>מקרובי</w:t>
            </w:r>
            <w:r w:rsidRPr="00FF6086">
              <w:rPr>
                <w:rFonts w:ascii="Century" w:hAnsi="Century"/>
                <w:rtl/>
              </w:rPr>
              <w:t xml:space="preserve"> </w:t>
            </w:r>
            <w:r w:rsidRPr="00FF6086">
              <w:rPr>
                <w:rFonts w:ascii="Century" w:hAnsi="Century" w:hint="eastAsia"/>
                <w:rtl/>
              </w:rPr>
              <w:t>המאומץ</w:t>
            </w:r>
            <w:r w:rsidRPr="00FF6086">
              <w:rPr>
                <w:rFonts w:ascii="Century" w:hAnsi="Century"/>
                <w:rtl/>
              </w:rPr>
              <w:t xml:space="preserve"> </w:t>
            </w:r>
            <w:r w:rsidRPr="00FF6086">
              <w:rPr>
                <w:rFonts w:ascii="Century" w:hAnsi="Century" w:hint="eastAsia"/>
                <w:rtl/>
              </w:rPr>
              <w:t>ובלתי</w:t>
            </w:r>
            <w:r w:rsidRPr="00FF6086">
              <w:rPr>
                <w:rFonts w:ascii="Century" w:hAnsi="Century"/>
                <w:rtl/>
              </w:rPr>
              <w:t xml:space="preserve"> </w:t>
            </w:r>
            <w:r w:rsidRPr="00FF6086">
              <w:rPr>
                <w:rFonts w:ascii="Century" w:hAnsi="Century" w:hint="eastAsia"/>
                <w:rtl/>
              </w:rPr>
              <w:t>נשוי</w:t>
            </w:r>
            <w:r w:rsidRPr="00FF6086">
              <w:rPr>
                <w:rFonts w:ascii="Century" w:hAnsi="Century"/>
                <w:rtl/>
              </w:rPr>
              <w:t>.</w:t>
            </w:r>
          </w:p>
        </w:tc>
      </w:tr>
    </w:tbl>
    <w:p w:rsidR="0046011D" w:rsidRDefault="0046011D" w:rsidP="0046011D">
      <w:pPr>
        <w:pStyle w:val="Ruller41"/>
        <w:rPr>
          <w:rFonts w:ascii="Century" w:hAnsi="Century"/>
          <w:rtl/>
        </w:rPr>
      </w:pPr>
    </w:p>
    <w:p w:rsidR="0046011D" w:rsidRDefault="0046011D" w:rsidP="0046011D">
      <w:pPr>
        <w:pStyle w:val="Ruller41"/>
        <w:rPr>
          <w:rtl/>
        </w:rPr>
      </w:pPr>
      <w:r>
        <w:rPr>
          <w:rFonts w:ascii="Century" w:hAnsi="Century"/>
          <w:rtl/>
        </w:rPr>
        <w:tab/>
      </w:r>
      <w:r w:rsidRPr="00530DD8">
        <w:rPr>
          <w:rFonts w:hint="eastAsia"/>
          <w:rtl/>
        </w:rPr>
        <w:t>מהוראה</w:t>
      </w:r>
      <w:r w:rsidRPr="00530DD8">
        <w:rPr>
          <w:rtl/>
        </w:rPr>
        <w:t xml:space="preserve"> </w:t>
      </w:r>
      <w:r w:rsidRPr="00530DD8">
        <w:rPr>
          <w:rFonts w:hint="eastAsia"/>
          <w:rtl/>
        </w:rPr>
        <w:t>זו</w:t>
      </w:r>
      <w:r w:rsidRPr="00530DD8">
        <w:rPr>
          <w:rtl/>
        </w:rPr>
        <w:t xml:space="preserve"> </w:t>
      </w:r>
      <w:r w:rsidRPr="00530DD8">
        <w:rPr>
          <w:rFonts w:hint="eastAsia"/>
          <w:rtl/>
        </w:rPr>
        <w:t>נובע</w:t>
      </w:r>
      <w:r w:rsidRPr="00530DD8">
        <w:rPr>
          <w:rtl/>
        </w:rPr>
        <w:t xml:space="preserve"> </w:t>
      </w:r>
      <w:r w:rsidRPr="00530DD8">
        <w:rPr>
          <w:rFonts w:hint="eastAsia"/>
          <w:rtl/>
        </w:rPr>
        <w:t>כי</w:t>
      </w:r>
      <w:r w:rsidRPr="00530DD8">
        <w:rPr>
          <w:rtl/>
        </w:rPr>
        <w:t xml:space="preserve"> </w:t>
      </w:r>
      <w:r>
        <w:rPr>
          <w:rFonts w:hint="cs"/>
          <w:rtl/>
        </w:rPr>
        <w:t>אין</w:t>
      </w:r>
      <w:r w:rsidRPr="00530DD8">
        <w:rPr>
          <w:rtl/>
        </w:rPr>
        <w:t xml:space="preserve"> </w:t>
      </w:r>
      <w:proofErr w:type="spellStart"/>
      <w:r w:rsidRPr="00530DD8">
        <w:rPr>
          <w:rFonts w:hint="eastAsia"/>
          <w:rtl/>
        </w:rPr>
        <w:t>ליתן</w:t>
      </w:r>
      <w:proofErr w:type="spellEnd"/>
      <w:r w:rsidRPr="00530DD8">
        <w:rPr>
          <w:rtl/>
        </w:rPr>
        <w:t xml:space="preserve"> </w:t>
      </w:r>
      <w:r w:rsidRPr="00530DD8">
        <w:rPr>
          <w:rFonts w:hint="eastAsia"/>
          <w:rtl/>
        </w:rPr>
        <w:t>צו</w:t>
      </w:r>
      <w:r w:rsidRPr="00530DD8">
        <w:rPr>
          <w:rtl/>
        </w:rPr>
        <w:t xml:space="preserve"> </w:t>
      </w:r>
      <w:r w:rsidRPr="00530DD8">
        <w:rPr>
          <w:rFonts w:hint="eastAsia"/>
          <w:rtl/>
        </w:rPr>
        <w:t>אימוץ</w:t>
      </w:r>
      <w:r>
        <w:rPr>
          <w:rFonts w:hint="cs"/>
          <w:rtl/>
        </w:rPr>
        <w:t>,</w:t>
      </w:r>
      <w:r w:rsidRPr="00530DD8">
        <w:rPr>
          <w:rtl/>
        </w:rPr>
        <w:t xml:space="preserve"> </w:t>
      </w:r>
      <w:r w:rsidRPr="00530DD8">
        <w:rPr>
          <w:rFonts w:hint="eastAsia"/>
          <w:rtl/>
        </w:rPr>
        <w:t>אלא</w:t>
      </w:r>
      <w:r w:rsidRPr="00530DD8">
        <w:rPr>
          <w:rtl/>
        </w:rPr>
        <w:t xml:space="preserve"> </w:t>
      </w:r>
      <w:r w:rsidRPr="00530DD8">
        <w:rPr>
          <w:rFonts w:hint="eastAsia"/>
          <w:rtl/>
        </w:rPr>
        <w:t>אם</w:t>
      </w:r>
      <w:r w:rsidRPr="00530DD8">
        <w:rPr>
          <w:rtl/>
        </w:rPr>
        <w:t xml:space="preserve"> </w:t>
      </w:r>
      <w:r w:rsidRPr="00530DD8">
        <w:rPr>
          <w:rFonts w:hint="eastAsia"/>
          <w:rtl/>
        </w:rPr>
        <w:t>המבקשים</w:t>
      </w:r>
      <w:r w:rsidRPr="00530DD8">
        <w:rPr>
          <w:rtl/>
        </w:rPr>
        <w:t xml:space="preserve"> </w:t>
      </w:r>
      <w:r>
        <w:rPr>
          <w:rFonts w:hint="cs"/>
          <w:rtl/>
        </w:rPr>
        <w:t xml:space="preserve">לאמץ </w:t>
      </w:r>
      <w:r w:rsidRPr="00530DD8">
        <w:rPr>
          <w:rFonts w:hint="eastAsia"/>
          <w:rtl/>
        </w:rPr>
        <w:t>הם</w:t>
      </w:r>
      <w:r w:rsidRPr="00530DD8">
        <w:rPr>
          <w:rtl/>
        </w:rPr>
        <w:t xml:space="preserve"> "</w:t>
      </w:r>
      <w:r w:rsidRPr="00530DD8">
        <w:rPr>
          <w:rFonts w:hint="eastAsia"/>
          <w:rtl/>
        </w:rPr>
        <w:t>איש</w:t>
      </w:r>
      <w:r w:rsidRPr="00530DD8">
        <w:rPr>
          <w:rtl/>
        </w:rPr>
        <w:t xml:space="preserve"> </w:t>
      </w:r>
      <w:r w:rsidRPr="00530DD8">
        <w:rPr>
          <w:rFonts w:hint="eastAsia"/>
          <w:rtl/>
        </w:rPr>
        <w:t>ואשתו</w:t>
      </w:r>
      <w:r w:rsidRPr="00530DD8">
        <w:rPr>
          <w:rtl/>
        </w:rPr>
        <w:t>".</w:t>
      </w:r>
      <w:r>
        <w:rPr>
          <w:rFonts w:hint="cs"/>
          <w:rtl/>
        </w:rPr>
        <w:t xml:space="preserve"> לצד האמור,</w:t>
      </w:r>
      <w:r w:rsidRPr="00530DD8">
        <w:rPr>
          <w:rtl/>
        </w:rPr>
        <w:t xml:space="preserve"> </w:t>
      </w:r>
      <w:proofErr w:type="spellStart"/>
      <w:r>
        <w:rPr>
          <w:rFonts w:hint="eastAsia"/>
          <w:rtl/>
        </w:rPr>
        <w:t>סיפ</w:t>
      </w:r>
      <w:r>
        <w:rPr>
          <w:rFonts w:hint="cs"/>
          <w:rtl/>
        </w:rPr>
        <w:t>ת</w:t>
      </w:r>
      <w:proofErr w:type="spellEnd"/>
      <w:r>
        <w:rPr>
          <w:rFonts w:hint="cs"/>
          <w:rtl/>
        </w:rPr>
        <w:t xml:space="preserve"> הסעיף</w:t>
      </w:r>
      <w:r w:rsidRPr="00530DD8">
        <w:rPr>
          <w:rtl/>
        </w:rPr>
        <w:t xml:space="preserve"> </w:t>
      </w:r>
      <w:r w:rsidRPr="00530DD8">
        <w:rPr>
          <w:rFonts w:hint="eastAsia"/>
          <w:rtl/>
        </w:rPr>
        <w:t>קובע</w:t>
      </w:r>
      <w:r>
        <w:rPr>
          <w:rFonts w:hint="cs"/>
          <w:rtl/>
        </w:rPr>
        <w:t>ת</w:t>
      </w:r>
      <w:r w:rsidRPr="00530DD8">
        <w:rPr>
          <w:rtl/>
        </w:rPr>
        <w:t xml:space="preserve"> </w:t>
      </w:r>
      <w:r w:rsidRPr="00530DD8">
        <w:rPr>
          <w:rFonts w:hint="eastAsia"/>
          <w:rtl/>
        </w:rPr>
        <w:t>שתי</w:t>
      </w:r>
      <w:r w:rsidRPr="00530DD8">
        <w:rPr>
          <w:rtl/>
        </w:rPr>
        <w:t xml:space="preserve"> </w:t>
      </w:r>
      <w:r w:rsidRPr="00530DD8">
        <w:rPr>
          <w:rFonts w:hint="eastAsia"/>
          <w:rtl/>
        </w:rPr>
        <w:t>חלופות</w:t>
      </w:r>
      <w:r>
        <w:rPr>
          <w:rFonts w:hint="cs"/>
          <w:rtl/>
        </w:rPr>
        <w:t xml:space="preserve"> </w:t>
      </w:r>
      <w:proofErr w:type="spellStart"/>
      <w:r>
        <w:rPr>
          <w:rFonts w:hint="cs"/>
          <w:rtl/>
        </w:rPr>
        <w:t>שבהתקיימן</w:t>
      </w:r>
      <w:proofErr w:type="spellEnd"/>
      <w:r>
        <w:rPr>
          <w:rFonts w:hint="cs"/>
          <w:rtl/>
        </w:rPr>
        <w:t xml:space="preserve"> רשאי בית המשפט לאשר אימוץ כאשר מדובר במאמץ יחיד.</w:t>
      </w:r>
      <w:r w:rsidRPr="00530DD8">
        <w:rPr>
          <w:rtl/>
        </w:rPr>
        <w:t xml:space="preserve"> </w:t>
      </w:r>
      <w:r>
        <w:rPr>
          <w:rFonts w:hint="cs"/>
          <w:rtl/>
        </w:rPr>
        <w:t xml:space="preserve">לפי </w:t>
      </w:r>
      <w:r w:rsidRPr="00530DD8">
        <w:rPr>
          <w:rFonts w:hint="eastAsia"/>
          <w:rtl/>
        </w:rPr>
        <w:t>החלופה</w:t>
      </w:r>
      <w:r w:rsidRPr="00530DD8">
        <w:rPr>
          <w:rtl/>
        </w:rPr>
        <w:t xml:space="preserve"> </w:t>
      </w:r>
      <w:r w:rsidRPr="00530DD8">
        <w:rPr>
          <w:rFonts w:hint="eastAsia"/>
          <w:rtl/>
        </w:rPr>
        <w:t>הראשונה</w:t>
      </w:r>
      <w:r>
        <w:rPr>
          <w:rFonts w:hint="cs"/>
          <w:rtl/>
        </w:rPr>
        <w:t>,</w:t>
      </w:r>
      <w:r w:rsidRPr="00530DD8">
        <w:rPr>
          <w:rtl/>
        </w:rPr>
        <w:t xml:space="preserve"> </w:t>
      </w:r>
      <w:r>
        <w:rPr>
          <w:rFonts w:hint="cs"/>
          <w:rtl/>
        </w:rPr>
        <w:t xml:space="preserve">על </w:t>
      </w:r>
      <w:r w:rsidRPr="00530DD8">
        <w:rPr>
          <w:rFonts w:hint="eastAsia"/>
          <w:rtl/>
        </w:rPr>
        <w:t>המאמץ</w:t>
      </w:r>
      <w:r w:rsidRPr="00530DD8">
        <w:rPr>
          <w:rtl/>
        </w:rPr>
        <w:t xml:space="preserve"> </w:t>
      </w:r>
      <w:r>
        <w:rPr>
          <w:rFonts w:hint="cs"/>
          <w:rtl/>
        </w:rPr>
        <w:t>להיות</w:t>
      </w:r>
      <w:r>
        <w:rPr>
          <w:rtl/>
        </w:rPr>
        <w:t xml:space="preserve"> </w:t>
      </w:r>
      <w:r w:rsidRPr="00530DD8">
        <w:rPr>
          <w:rFonts w:hint="eastAsia"/>
          <w:rtl/>
        </w:rPr>
        <w:t>בן</w:t>
      </w:r>
      <w:r w:rsidRPr="00530DD8">
        <w:rPr>
          <w:rtl/>
        </w:rPr>
        <w:t xml:space="preserve"> </w:t>
      </w:r>
      <w:r w:rsidRPr="00530DD8">
        <w:rPr>
          <w:rFonts w:hint="eastAsia"/>
          <w:rtl/>
        </w:rPr>
        <w:t>זוגו</w:t>
      </w:r>
      <w:r w:rsidRPr="00530DD8">
        <w:rPr>
          <w:rtl/>
        </w:rPr>
        <w:t xml:space="preserve"> </w:t>
      </w:r>
      <w:r w:rsidRPr="00530DD8">
        <w:rPr>
          <w:rFonts w:hint="eastAsia"/>
          <w:rtl/>
        </w:rPr>
        <w:t>של</w:t>
      </w:r>
      <w:r w:rsidRPr="00530DD8">
        <w:rPr>
          <w:rtl/>
        </w:rPr>
        <w:t xml:space="preserve"> </w:t>
      </w:r>
      <w:r w:rsidRPr="00530DD8">
        <w:rPr>
          <w:rFonts w:hint="eastAsia"/>
          <w:rtl/>
        </w:rPr>
        <w:t>הורה</w:t>
      </w:r>
      <w:r w:rsidRPr="00530DD8">
        <w:rPr>
          <w:rtl/>
        </w:rPr>
        <w:t xml:space="preserve"> </w:t>
      </w:r>
      <w:r w:rsidRPr="00530DD8">
        <w:rPr>
          <w:rFonts w:hint="eastAsia"/>
          <w:rtl/>
        </w:rPr>
        <w:t>המאומץ</w:t>
      </w:r>
      <w:r w:rsidRPr="00530DD8">
        <w:rPr>
          <w:rtl/>
        </w:rPr>
        <w:t xml:space="preserve"> </w:t>
      </w:r>
      <w:r w:rsidRPr="00530DD8">
        <w:rPr>
          <w:rFonts w:hint="eastAsia"/>
          <w:rtl/>
        </w:rPr>
        <w:t>או</w:t>
      </w:r>
      <w:r w:rsidRPr="00530DD8">
        <w:rPr>
          <w:rtl/>
        </w:rPr>
        <w:t xml:space="preserve"> </w:t>
      </w:r>
      <w:r>
        <w:rPr>
          <w:rFonts w:hint="cs"/>
          <w:rtl/>
        </w:rPr>
        <w:t xml:space="preserve">של </w:t>
      </w:r>
      <w:r w:rsidRPr="00530DD8">
        <w:rPr>
          <w:rFonts w:hint="eastAsia"/>
          <w:rtl/>
        </w:rPr>
        <w:t>מי</w:t>
      </w:r>
      <w:r w:rsidRPr="00530DD8">
        <w:rPr>
          <w:rtl/>
        </w:rPr>
        <w:t xml:space="preserve"> </w:t>
      </w:r>
      <w:r w:rsidRPr="00530DD8">
        <w:rPr>
          <w:rFonts w:hint="eastAsia"/>
          <w:rtl/>
        </w:rPr>
        <w:t>שאימצו</w:t>
      </w:r>
      <w:r w:rsidRPr="00530DD8">
        <w:rPr>
          <w:rtl/>
        </w:rPr>
        <w:t xml:space="preserve"> </w:t>
      </w:r>
      <w:r w:rsidRPr="00530DD8">
        <w:rPr>
          <w:rFonts w:hint="eastAsia"/>
          <w:rtl/>
        </w:rPr>
        <w:t>בעבר</w:t>
      </w:r>
      <w:r w:rsidRPr="00530DD8">
        <w:rPr>
          <w:rtl/>
        </w:rPr>
        <w:t>.</w:t>
      </w:r>
      <w:r>
        <w:rPr>
          <w:rFonts w:hint="cs"/>
          <w:rtl/>
        </w:rPr>
        <w:t xml:space="preserve"> לפי</w:t>
      </w:r>
      <w:r w:rsidRPr="00530DD8">
        <w:rPr>
          <w:rtl/>
        </w:rPr>
        <w:t xml:space="preserve"> </w:t>
      </w:r>
      <w:r w:rsidRPr="00530DD8">
        <w:rPr>
          <w:rFonts w:hint="eastAsia"/>
          <w:rtl/>
        </w:rPr>
        <w:t>החלופה</w:t>
      </w:r>
      <w:r w:rsidRPr="00530DD8">
        <w:rPr>
          <w:rtl/>
        </w:rPr>
        <w:t xml:space="preserve"> </w:t>
      </w:r>
      <w:r w:rsidRPr="00530DD8">
        <w:rPr>
          <w:rFonts w:hint="eastAsia"/>
          <w:rtl/>
        </w:rPr>
        <w:t>השנייה</w:t>
      </w:r>
      <w:r>
        <w:rPr>
          <w:rFonts w:hint="cs"/>
          <w:rtl/>
        </w:rPr>
        <w:t xml:space="preserve">, ניתן לאפשר אימוץ בנסיבות שבהן </w:t>
      </w:r>
      <w:r w:rsidRPr="00530DD8">
        <w:rPr>
          <w:rFonts w:hint="eastAsia"/>
          <w:rtl/>
        </w:rPr>
        <w:t>הורי</w:t>
      </w:r>
      <w:r w:rsidRPr="00530DD8">
        <w:rPr>
          <w:rtl/>
        </w:rPr>
        <w:t xml:space="preserve"> </w:t>
      </w:r>
      <w:r w:rsidRPr="00530DD8">
        <w:rPr>
          <w:rFonts w:hint="eastAsia"/>
          <w:rtl/>
        </w:rPr>
        <w:t>המאומץ</w:t>
      </w:r>
      <w:r w:rsidRPr="00530DD8">
        <w:rPr>
          <w:rtl/>
        </w:rPr>
        <w:t xml:space="preserve"> </w:t>
      </w:r>
      <w:r w:rsidRPr="00530DD8">
        <w:rPr>
          <w:rFonts w:hint="eastAsia"/>
          <w:rtl/>
        </w:rPr>
        <w:t>נפטרו</w:t>
      </w:r>
      <w:r w:rsidRPr="00530DD8">
        <w:rPr>
          <w:rtl/>
        </w:rPr>
        <w:t xml:space="preserve">, </w:t>
      </w:r>
      <w:r>
        <w:rPr>
          <w:rFonts w:hint="eastAsia"/>
          <w:rtl/>
        </w:rPr>
        <w:t>והמ</w:t>
      </w:r>
      <w:r>
        <w:rPr>
          <w:rFonts w:hint="cs"/>
          <w:rtl/>
        </w:rPr>
        <w:t xml:space="preserve">בקש לאמץ הוא </w:t>
      </w:r>
      <w:r>
        <w:rPr>
          <w:rFonts w:hint="eastAsia"/>
          <w:rtl/>
        </w:rPr>
        <w:t>קרוב</w:t>
      </w:r>
      <w:r w:rsidRPr="00530DD8">
        <w:rPr>
          <w:rtl/>
        </w:rPr>
        <w:t xml:space="preserve"> </w:t>
      </w:r>
      <w:r>
        <w:rPr>
          <w:rFonts w:hint="cs"/>
          <w:rtl/>
        </w:rPr>
        <w:t>משפחתו של המאומץ, והוא אינו נשוי</w:t>
      </w:r>
      <w:r w:rsidRPr="00530DD8">
        <w:rPr>
          <w:rtl/>
        </w:rPr>
        <w:t>.</w:t>
      </w:r>
      <w:r>
        <w:rPr>
          <w:rFonts w:hint="cs"/>
          <w:rtl/>
        </w:rPr>
        <w:t xml:space="preserve"> לצד התנאים הקשיחים האמורים שנקבעו בסעיף 3, עוגנה בסעיף 25(2) גם סמכותו של בית המשפט לסטות מחלק מהתנאים שקבועים בסעיף 3(2):</w:t>
      </w:r>
    </w:p>
    <w:p w:rsidR="0046011D" w:rsidRDefault="0046011D" w:rsidP="0046011D">
      <w:pPr>
        <w:pStyle w:val="Ruller41"/>
        <w:rPr>
          <w:rtl/>
        </w:rPr>
      </w:pPr>
    </w:p>
    <w:tbl>
      <w:tblPr>
        <w:bidiVisual/>
        <w:tblW w:w="0" w:type="auto"/>
        <w:jc w:val="center"/>
        <w:tblLook w:val="01E0" w:firstRow="1" w:lastRow="1" w:firstColumn="1" w:lastColumn="1" w:noHBand="0" w:noVBand="0"/>
      </w:tblPr>
      <w:tblGrid>
        <w:gridCol w:w="1276"/>
        <w:gridCol w:w="4253"/>
      </w:tblGrid>
      <w:tr w:rsidR="0046011D" w:rsidTr="00B40317">
        <w:trPr>
          <w:jc w:val="center"/>
        </w:trPr>
        <w:tc>
          <w:tcPr>
            <w:tcW w:w="1276" w:type="dxa"/>
          </w:tcPr>
          <w:p w:rsidR="0046011D" w:rsidRPr="00FF6086" w:rsidRDefault="0046011D" w:rsidP="00B40317">
            <w:pPr>
              <w:spacing w:before="80" w:after="120" w:line="160" w:lineRule="exact"/>
              <w:rPr>
                <w:rFonts w:cs="Miriam"/>
                <w:sz w:val="22"/>
                <w:szCs w:val="22"/>
              </w:rPr>
            </w:pPr>
            <w:r>
              <w:rPr>
                <w:rFonts w:cs="Miriam" w:hint="cs"/>
                <w:sz w:val="22"/>
                <w:szCs w:val="22"/>
                <w:rtl/>
              </w:rPr>
              <w:t>סמכות לסטות מסייגים</w:t>
            </w:r>
          </w:p>
        </w:tc>
        <w:tc>
          <w:tcPr>
            <w:tcW w:w="4253" w:type="dxa"/>
          </w:tcPr>
          <w:p w:rsidR="0046011D" w:rsidRPr="00B217CC" w:rsidRDefault="0046011D" w:rsidP="00B40317">
            <w:pPr>
              <w:pStyle w:val="Ruller41"/>
              <w:spacing w:line="240" w:lineRule="auto"/>
              <w:rPr>
                <w:rFonts w:ascii="Century" w:hAnsi="Century"/>
                <w:rtl/>
              </w:rPr>
            </w:pPr>
            <w:r>
              <w:rPr>
                <w:rFonts w:ascii="Century" w:hAnsi="Century" w:hint="cs"/>
                <w:rtl/>
              </w:rPr>
              <w:t>25</w:t>
            </w:r>
            <w:r w:rsidRPr="00B217CC">
              <w:rPr>
                <w:rFonts w:ascii="Century" w:hAnsi="Century" w:hint="cs"/>
                <w:rtl/>
              </w:rPr>
              <w:t>.  נו</w:t>
            </w:r>
            <w:r w:rsidRPr="00B217CC">
              <w:rPr>
                <w:rFonts w:ascii="Century" w:hAnsi="Century" w:hint="eastAsia"/>
                <w:rtl/>
              </w:rPr>
              <w:t>כח</w:t>
            </w:r>
            <w:r w:rsidRPr="00B217CC">
              <w:rPr>
                <w:rFonts w:ascii="Century" w:hAnsi="Century"/>
                <w:rtl/>
              </w:rPr>
              <w:t xml:space="preserve"> </w:t>
            </w:r>
            <w:r w:rsidRPr="00B217CC">
              <w:rPr>
                <w:rFonts w:ascii="Century" w:hAnsi="Century" w:hint="eastAsia"/>
                <w:rtl/>
              </w:rPr>
              <w:t>בית</w:t>
            </w:r>
            <w:r w:rsidRPr="00B217CC">
              <w:rPr>
                <w:rFonts w:ascii="Century" w:hAnsi="Century"/>
                <w:rtl/>
              </w:rPr>
              <w:t xml:space="preserve"> </w:t>
            </w:r>
            <w:r w:rsidRPr="00B217CC">
              <w:rPr>
                <w:rFonts w:ascii="Century" w:hAnsi="Century" w:hint="eastAsia"/>
                <w:rtl/>
              </w:rPr>
              <w:t>המשפט</w:t>
            </w:r>
            <w:r w:rsidRPr="00B217CC">
              <w:rPr>
                <w:rFonts w:ascii="Century" w:hAnsi="Century"/>
                <w:rtl/>
              </w:rPr>
              <w:t xml:space="preserve"> </w:t>
            </w:r>
            <w:r w:rsidRPr="00B217CC">
              <w:rPr>
                <w:rFonts w:ascii="Century" w:hAnsi="Century" w:hint="eastAsia"/>
                <w:rtl/>
              </w:rPr>
              <w:t>שהדבר</w:t>
            </w:r>
            <w:r w:rsidRPr="00B217CC">
              <w:rPr>
                <w:rFonts w:ascii="Century" w:hAnsi="Century"/>
                <w:rtl/>
              </w:rPr>
              <w:t xml:space="preserve"> </w:t>
            </w:r>
            <w:r w:rsidRPr="00B217CC">
              <w:rPr>
                <w:rFonts w:ascii="Century" w:hAnsi="Century" w:hint="eastAsia"/>
                <w:rtl/>
              </w:rPr>
              <w:t>יהיה</w:t>
            </w:r>
            <w:r w:rsidRPr="00B217CC">
              <w:rPr>
                <w:rFonts w:ascii="Century" w:hAnsi="Century"/>
                <w:rtl/>
              </w:rPr>
              <w:t xml:space="preserve"> </w:t>
            </w:r>
            <w:r w:rsidRPr="00B217CC">
              <w:rPr>
                <w:rFonts w:ascii="Century" w:hAnsi="Century" w:hint="eastAsia"/>
                <w:rtl/>
              </w:rPr>
              <w:t>לטובת</w:t>
            </w:r>
            <w:r w:rsidRPr="00B217CC">
              <w:rPr>
                <w:rFonts w:ascii="Century" w:hAnsi="Century"/>
                <w:rtl/>
              </w:rPr>
              <w:t xml:space="preserve"> </w:t>
            </w:r>
            <w:r w:rsidRPr="00B217CC">
              <w:rPr>
                <w:rFonts w:ascii="Century" w:hAnsi="Century" w:hint="eastAsia"/>
                <w:rtl/>
              </w:rPr>
              <w:t>המאומץ</w:t>
            </w:r>
            <w:r w:rsidRPr="00B217CC">
              <w:rPr>
                <w:rFonts w:ascii="Century" w:hAnsi="Century"/>
                <w:rtl/>
              </w:rPr>
              <w:t xml:space="preserve">, </w:t>
            </w:r>
            <w:r w:rsidRPr="00B217CC">
              <w:rPr>
                <w:rFonts w:ascii="Century" w:hAnsi="Century" w:hint="eastAsia"/>
                <w:rtl/>
              </w:rPr>
              <w:t>רשאי</w:t>
            </w:r>
            <w:r w:rsidRPr="00B217CC">
              <w:rPr>
                <w:rFonts w:ascii="Century" w:hAnsi="Century"/>
                <w:rtl/>
              </w:rPr>
              <w:t xml:space="preserve"> </w:t>
            </w:r>
            <w:r w:rsidRPr="00B217CC">
              <w:rPr>
                <w:rFonts w:ascii="Century" w:hAnsi="Century" w:hint="eastAsia"/>
                <w:rtl/>
              </w:rPr>
              <w:t>הוא</w:t>
            </w:r>
            <w:r w:rsidRPr="00B217CC">
              <w:rPr>
                <w:rFonts w:ascii="Century" w:hAnsi="Century"/>
                <w:rtl/>
              </w:rPr>
              <w:t xml:space="preserve">, </w:t>
            </w:r>
            <w:r w:rsidRPr="00B217CC">
              <w:rPr>
                <w:rFonts w:ascii="Century" w:hAnsi="Century" w:hint="eastAsia"/>
                <w:rtl/>
              </w:rPr>
              <w:t>בנסיבות</w:t>
            </w:r>
            <w:r w:rsidRPr="00B217CC">
              <w:rPr>
                <w:rFonts w:ascii="Century" w:hAnsi="Century"/>
                <w:rtl/>
              </w:rPr>
              <w:t xml:space="preserve"> </w:t>
            </w:r>
            <w:r w:rsidRPr="00B217CC">
              <w:rPr>
                <w:rFonts w:ascii="Century" w:hAnsi="Century" w:hint="eastAsia"/>
                <w:rtl/>
              </w:rPr>
              <w:t>מיוחדות</w:t>
            </w:r>
            <w:r w:rsidRPr="00B217CC">
              <w:rPr>
                <w:rFonts w:ascii="Century" w:hAnsi="Century"/>
                <w:rtl/>
              </w:rPr>
              <w:t xml:space="preserve"> </w:t>
            </w:r>
            <w:r w:rsidRPr="00B217CC">
              <w:rPr>
                <w:rFonts w:ascii="Century" w:hAnsi="Century" w:hint="eastAsia"/>
                <w:rtl/>
              </w:rPr>
              <w:t>ומטעמים</w:t>
            </w:r>
            <w:r w:rsidRPr="00B217CC">
              <w:rPr>
                <w:rFonts w:ascii="Century" w:hAnsi="Century"/>
                <w:rtl/>
              </w:rPr>
              <w:t xml:space="preserve"> </w:t>
            </w:r>
            <w:r w:rsidRPr="00B217CC">
              <w:rPr>
                <w:rFonts w:ascii="Century" w:hAnsi="Century" w:hint="eastAsia"/>
                <w:rtl/>
              </w:rPr>
              <w:t>שיציין</w:t>
            </w:r>
            <w:r w:rsidRPr="00B217CC">
              <w:rPr>
                <w:rFonts w:ascii="Century" w:hAnsi="Century"/>
                <w:rtl/>
              </w:rPr>
              <w:t xml:space="preserve"> </w:t>
            </w:r>
            <w:r w:rsidRPr="00B217CC">
              <w:rPr>
                <w:rFonts w:ascii="Century" w:hAnsi="Century" w:hint="eastAsia"/>
                <w:rtl/>
              </w:rPr>
              <w:t>בהחלטתו</w:t>
            </w:r>
            <w:r w:rsidRPr="00B217CC">
              <w:rPr>
                <w:rFonts w:ascii="Century" w:hAnsi="Century"/>
                <w:rtl/>
              </w:rPr>
              <w:t xml:space="preserve">, </w:t>
            </w:r>
            <w:r w:rsidRPr="00B217CC">
              <w:rPr>
                <w:rFonts w:ascii="Century" w:hAnsi="Century" w:hint="eastAsia"/>
                <w:rtl/>
              </w:rPr>
              <w:t>לסטות</w:t>
            </w:r>
            <w:r w:rsidRPr="00B217CC">
              <w:rPr>
                <w:rFonts w:ascii="Century" w:hAnsi="Century"/>
                <w:rtl/>
              </w:rPr>
              <w:t xml:space="preserve"> </w:t>
            </w:r>
            <w:r w:rsidRPr="00B217CC">
              <w:rPr>
                <w:rFonts w:ascii="Century" w:hAnsi="Century" w:hint="eastAsia"/>
                <w:rtl/>
              </w:rPr>
              <w:t>מסייגים</w:t>
            </w:r>
            <w:r w:rsidRPr="00B217CC">
              <w:rPr>
                <w:rFonts w:ascii="Century" w:hAnsi="Century"/>
                <w:rtl/>
              </w:rPr>
              <w:t xml:space="preserve"> </w:t>
            </w:r>
            <w:r w:rsidRPr="00B217CC">
              <w:rPr>
                <w:rFonts w:ascii="Century" w:hAnsi="Century" w:hint="eastAsia"/>
                <w:rtl/>
              </w:rPr>
              <w:t>אלה</w:t>
            </w:r>
            <w:r w:rsidRPr="00B217CC">
              <w:rPr>
                <w:rFonts w:ascii="Century" w:hAnsi="Century"/>
                <w:rtl/>
              </w:rPr>
              <w:t>:</w:t>
            </w:r>
          </w:p>
          <w:p w:rsidR="0046011D" w:rsidRPr="00FF6086" w:rsidRDefault="0046011D" w:rsidP="00B40317">
            <w:pPr>
              <w:pStyle w:val="Ruller41"/>
              <w:spacing w:line="240" w:lineRule="auto"/>
              <w:rPr>
                <w:rFonts w:ascii="Century" w:hAnsi="Century"/>
                <w:rtl/>
              </w:rPr>
            </w:pPr>
          </w:p>
          <w:p w:rsidR="0046011D" w:rsidRDefault="0046011D" w:rsidP="00B40317">
            <w:pPr>
              <w:pStyle w:val="Ruller41"/>
              <w:spacing w:line="240" w:lineRule="auto"/>
              <w:rPr>
                <w:rFonts w:ascii="Century" w:hAnsi="Century"/>
                <w:rtl/>
              </w:rPr>
            </w:pPr>
            <w:r>
              <w:rPr>
                <w:rFonts w:ascii="Century" w:hAnsi="Century" w:hint="cs"/>
                <w:rtl/>
              </w:rPr>
              <w:t>[...]</w:t>
            </w:r>
          </w:p>
          <w:p w:rsidR="0046011D" w:rsidRPr="00FF6086" w:rsidRDefault="0046011D" w:rsidP="00B40317">
            <w:pPr>
              <w:pStyle w:val="Ruller41"/>
              <w:spacing w:line="240" w:lineRule="auto"/>
              <w:ind w:left="459"/>
              <w:rPr>
                <w:rFonts w:ascii="Century" w:hAnsi="Century"/>
              </w:rPr>
            </w:pPr>
            <w:r>
              <w:rPr>
                <w:rFonts w:ascii="Century" w:hAnsi="Century" w:hint="cs"/>
                <w:rtl/>
              </w:rPr>
              <w:t>(2)</w:t>
            </w:r>
            <w:r>
              <w:rPr>
                <w:rFonts w:ascii="Century" w:hAnsi="Century" w:hint="cs"/>
              </w:rPr>
              <w:t xml:space="preserve"> </w:t>
            </w:r>
            <w:r w:rsidRPr="00B217CC">
              <w:rPr>
                <w:rFonts w:ascii="Century" w:hAnsi="Century" w:hint="eastAsia"/>
                <w:rtl/>
              </w:rPr>
              <w:t>פטירת</w:t>
            </w:r>
            <w:r w:rsidRPr="00B217CC">
              <w:rPr>
                <w:rFonts w:ascii="Century" w:hAnsi="Century"/>
                <w:rtl/>
              </w:rPr>
              <w:t xml:space="preserve"> </w:t>
            </w:r>
            <w:r w:rsidRPr="00B217CC">
              <w:rPr>
                <w:rFonts w:ascii="Century" w:hAnsi="Century" w:hint="eastAsia"/>
                <w:rtl/>
              </w:rPr>
              <w:t>הורי</w:t>
            </w:r>
            <w:r w:rsidRPr="00B217CC">
              <w:rPr>
                <w:rFonts w:ascii="Century" w:hAnsi="Century"/>
                <w:rtl/>
              </w:rPr>
              <w:t xml:space="preserve"> </w:t>
            </w:r>
            <w:r w:rsidRPr="00B217CC">
              <w:rPr>
                <w:rFonts w:ascii="Century" w:hAnsi="Century" w:hint="eastAsia"/>
                <w:rtl/>
              </w:rPr>
              <w:t>המאומץ</w:t>
            </w:r>
            <w:r w:rsidRPr="00B217CC">
              <w:rPr>
                <w:rFonts w:ascii="Century" w:hAnsi="Century"/>
                <w:rtl/>
              </w:rPr>
              <w:t xml:space="preserve"> </w:t>
            </w:r>
            <w:r w:rsidRPr="00B217CC">
              <w:rPr>
                <w:rFonts w:ascii="Century" w:hAnsi="Century" w:hint="eastAsia"/>
                <w:rtl/>
              </w:rPr>
              <w:t>וקרבת</w:t>
            </w:r>
            <w:r w:rsidRPr="00B217CC">
              <w:rPr>
                <w:rFonts w:ascii="Century" w:hAnsi="Century"/>
                <w:rtl/>
              </w:rPr>
              <w:t xml:space="preserve"> </w:t>
            </w:r>
            <w:r w:rsidRPr="00B217CC">
              <w:rPr>
                <w:rFonts w:ascii="Century" w:hAnsi="Century" w:hint="eastAsia"/>
                <w:rtl/>
              </w:rPr>
              <w:t>המאמץ</w:t>
            </w:r>
            <w:r w:rsidRPr="00B217CC">
              <w:rPr>
                <w:rFonts w:ascii="Century" w:hAnsi="Century"/>
                <w:rtl/>
              </w:rPr>
              <w:t xml:space="preserve"> </w:t>
            </w:r>
            <w:r w:rsidRPr="00B217CC">
              <w:rPr>
                <w:rFonts w:ascii="Century" w:hAnsi="Century" w:hint="eastAsia"/>
                <w:rtl/>
              </w:rPr>
              <w:t>לפי</w:t>
            </w:r>
            <w:r w:rsidRPr="00B217CC">
              <w:rPr>
                <w:rFonts w:ascii="Century" w:hAnsi="Century"/>
                <w:rtl/>
              </w:rPr>
              <w:t xml:space="preserve"> </w:t>
            </w:r>
            <w:r w:rsidRPr="00B217CC">
              <w:rPr>
                <w:rFonts w:ascii="Century" w:hAnsi="Century" w:hint="eastAsia"/>
                <w:rtl/>
              </w:rPr>
              <w:t>סעיף</w:t>
            </w:r>
            <w:r w:rsidRPr="00B217CC">
              <w:rPr>
                <w:rFonts w:ascii="Century" w:hAnsi="Century"/>
                <w:rtl/>
              </w:rPr>
              <w:t xml:space="preserve"> 3(2)</w:t>
            </w:r>
          </w:p>
        </w:tc>
      </w:tr>
    </w:tbl>
    <w:p w:rsidR="0046011D" w:rsidRPr="00B217CC" w:rsidRDefault="0046011D" w:rsidP="0046011D">
      <w:pPr>
        <w:pStyle w:val="Ruller41"/>
        <w:rPr>
          <w:rtl/>
        </w:rPr>
      </w:pPr>
    </w:p>
    <w:p w:rsidR="0046011D" w:rsidRDefault="0046011D" w:rsidP="0046011D">
      <w:pPr>
        <w:pStyle w:val="Ruller41"/>
        <w:rPr>
          <w:rtl/>
        </w:rPr>
      </w:pPr>
      <w:r>
        <w:rPr>
          <w:rtl/>
        </w:rPr>
        <w:tab/>
      </w:r>
      <w:r>
        <w:rPr>
          <w:rFonts w:hint="cs"/>
          <w:rtl/>
        </w:rPr>
        <w:t xml:space="preserve">לפי הוראת סעיף 25(2), בית המשפט מוסמך </w:t>
      </w:r>
      <w:proofErr w:type="spellStart"/>
      <w:r>
        <w:rPr>
          <w:rFonts w:hint="cs"/>
          <w:rtl/>
        </w:rPr>
        <w:t>ליתן</w:t>
      </w:r>
      <w:proofErr w:type="spellEnd"/>
      <w:r>
        <w:rPr>
          <w:rFonts w:hint="cs"/>
          <w:rtl/>
        </w:rPr>
        <w:t xml:space="preserve"> צו אימוץ גם כאשר התנאים </w:t>
      </w:r>
      <w:r w:rsidRPr="00530DD8">
        <w:rPr>
          <w:rFonts w:hint="eastAsia"/>
          <w:rtl/>
        </w:rPr>
        <w:t>של</w:t>
      </w:r>
      <w:r w:rsidRPr="00530DD8">
        <w:rPr>
          <w:rtl/>
        </w:rPr>
        <w:t xml:space="preserve"> </w:t>
      </w:r>
      <w:r w:rsidRPr="00530DD8">
        <w:rPr>
          <w:rFonts w:hint="eastAsia"/>
          <w:rtl/>
        </w:rPr>
        <w:t>פטירת</w:t>
      </w:r>
      <w:r w:rsidRPr="00530DD8">
        <w:rPr>
          <w:rtl/>
        </w:rPr>
        <w:t xml:space="preserve"> </w:t>
      </w:r>
      <w:r w:rsidRPr="00530DD8">
        <w:rPr>
          <w:rFonts w:hint="eastAsia"/>
          <w:rtl/>
        </w:rPr>
        <w:t>הורי</w:t>
      </w:r>
      <w:r w:rsidRPr="00530DD8">
        <w:rPr>
          <w:rtl/>
        </w:rPr>
        <w:t xml:space="preserve"> </w:t>
      </w:r>
      <w:r w:rsidRPr="00530DD8">
        <w:rPr>
          <w:rFonts w:hint="eastAsia"/>
          <w:rtl/>
        </w:rPr>
        <w:t>המאומץ</w:t>
      </w:r>
      <w:r w:rsidRPr="00530DD8">
        <w:rPr>
          <w:rtl/>
        </w:rPr>
        <w:t xml:space="preserve"> </w:t>
      </w:r>
      <w:r w:rsidRPr="00530DD8">
        <w:rPr>
          <w:rFonts w:hint="eastAsia"/>
          <w:rtl/>
        </w:rPr>
        <w:t>וקירבת</w:t>
      </w:r>
      <w:r w:rsidRPr="00530DD8">
        <w:rPr>
          <w:rtl/>
        </w:rPr>
        <w:t xml:space="preserve"> </w:t>
      </w:r>
      <w:r w:rsidRPr="00530DD8">
        <w:rPr>
          <w:rFonts w:hint="eastAsia"/>
          <w:rtl/>
        </w:rPr>
        <w:t>המאמץ</w:t>
      </w:r>
      <w:r>
        <w:rPr>
          <w:rFonts w:hint="cs"/>
          <w:rtl/>
        </w:rPr>
        <w:t xml:space="preserve"> לא מתקיימים </w:t>
      </w:r>
      <w:r>
        <w:rPr>
          <w:rtl/>
        </w:rPr>
        <w:t>–</w:t>
      </w:r>
      <w:r>
        <w:rPr>
          <w:rFonts w:hint="cs"/>
          <w:rtl/>
        </w:rPr>
        <w:t xml:space="preserve"> קרי כאשר מדובר במאמץ יחיד שהוא לא נשוי. זאת, כאשר נוכח בית המשפט כי האימוץ הוא לטובת המאומץ, </w:t>
      </w:r>
      <w:r w:rsidRPr="00530DD8">
        <w:rPr>
          <w:rFonts w:hint="eastAsia"/>
          <w:rtl/>
        </w:rPr>
        <w:t>בנסיבות</w:t>
      </w:r>
      <w:r w:rsidRPr="00530DD8">
        <w:rPr>
          <w:rtl/>
        </w:rPr>
        <w:t xml:space="preserve"> </w:t>
      </w:r>
      <w:r w:rsidRPr="00530DD8">
        <w:rPr>
          <w:rFonts w:hint="eastAsia"/>
          <w:rtl/>
        </w:rPr>
        <w:t>מיוחדות</w:t>
      </w:r>
      <w:r w:rsidRPr="00530DD8">
        <w:rPr>
          <w:rtl/>
        </w:rPr>
        <w:t xml:space="preserve"> </w:t>
      </w:r>
      <w:r w:rsidRPr="00530DD8">
        <w:rPr>
          <w:rFonts w:hint="eastAsia"/>
          <w:rtl/>
        </w:rPr>
        <w:t>ומטעמים</w:t>
      </w:r>
      <w:r w:rsidRPr="00530DD8">
        <w:rPr>
          <w:rtl/>
        </w:rPr>
        <w:t xml:space="preserve"> </w:t>
      </w:r>
      <w:r w:rsidRPr="00530DD8">
        <w:rPr>
          <w:rFonts w:hint="eastAsia"/>
          <w:rtl/>
        </w:rPr>
        <w:t>שיציין</w:t>
      </w:r>
      <w:r w:rsidRPr="00530DD8">
        <w:rPr>
          <w:rtl/>
        </w:rPr>
        <w:t xml:space="preserve"> </w:t>
      </w:r>
      <w:r w:rsidRPr="00530DD8">
        <w:rPr>
          <w:rFonts w:hint="eastAsia"/>
          <w:rtl/>
        </w:rPr>
        <w:t>בהחלטתו</w:t>
      </w:r>
      <w:r>
        <w:rPr>
          <w:rFonts w:hint="cs"/>
          <w:rtl/>
        </w:rPr>
        <w:t xml:space="preserve">. </w:t>
      </w:r>
    </w:p>
    <w:p w:rsidR="0046011D" w:rsidRDefault="0046011D" w:rsidP="0046011D">
      <w:pPr>
        <w:pStyle w:val="Ruller41"/>
        <w:rPr>
          <w:rtl/>
        </w:rPr>
      </w:pPr>
    </w:p>
    <w:p w:rsidR="0046011D" w:rsidRDefault="0046011D" w:rsidP="0046011D">
      <w:pPr>
        <w:pStyle w:val="Ruller41"/>
      </w:pPr>
      <w:r>
        <w:rPr>
          <w:rtl/>
        </w:rPr>
        <w:lastRenderedPageBreak/>
        <w:tab/>
      </w:r>
      <w:r>
        <w:rPr>
          <w:rFonts w:hint="cs"/>
          <w:rtl/>
        </w:rPr>
        <w:t xml:space="preserve">על רקע התשתית האמורה, וכפי שעוד יפורט להלן, הפרשנות הנוהגת כיום על ידי המדינה היא שזוגות מאותו המין כשירים להגיש בקשה לאימוץ, </w:t>
      </w:r>
      <w:r w:rsidRPr="00530DD8">
        <w:rPr>
          <w:rFonts w:hint="eastAsia"/>
          <w:rtl/>
        </w:rPr>
        <w:t>על</w:t>
      </w:r>
      <w:r w:rsidRPr="00530DD8">
        <w:rPr>
          <w:rtl/>
        </w:rPr>
        <w:t xml:space="preserve"> </w:t>
      </w:r>
      <w:r w:rsidRPr="00530DD8">
        <w:rPr>
          <w:rFonts w:hint="eastAsia"/>
          <w:rtl/>
        </w:rPr>
        <w:t>יסוד</w:t>
      </w:r>
      <w:r>
        <w:rPr>
          <w:rFonts w:hint="cs"/>
          <w:rtl/>
        </w:rPr>
        <w:t xml:space="preserve"> שילובן של</w:t>
      </w:r>
      <w:r w:rsidRPr="00530DD8">
        <w:rPr>
          <w:rtl/>
        </w:rPr>
        <w:t xml:space="preserve"> </w:t>
      </w:r>
      <w:r w:rsidRPr="00530DD8">
        <w:rPr>
          <w:rFonts w:hint="eastAsia"/>
          <w:rtl/>
        </w:rPr>
        <w:t>הוראות</w:t>
      </w:r>
      <w:r w:rsidRPr="00530DD8">
        <w:rPr>
          <w:rtl/>
        </w:rPr>
        <w:t xml:space="preserve"> </w:t>
      </w:r>
      <w:r w:rsidRPr="00530DD8">
        <w:rPr>
          <w:rFonts w:hint="eastAsia"/>
          <w:rtl/>
        </w:rPr>
        <w:t>סעיפים</w:t>
      </w:r>
      <w:r w:rsidRPr="00530DD8">
        <w:rPr>
          <w:rtl/>
        </w:rPr>
        <w:t xml:space="preserve"> </w:t>
      </w:r>
      <w:r>
        <w:rPr>
          <w:rFonts w:hint="cs"/>
          <w:rtl/>
        </w:rPr>
        <w:t>3(2)</w:t>
      </w:r>
      <w:r w:rsidRPr="00530DD8">
        <w:rPr>
          <w:rtl/>
        </w:rPr>
        <w:t xml:space="preserve"> </w:t>
      </w:r>
      <w:r w:rsidRPr="00530DD8">
        <w:rPr>
          <w:rFonts w:hint="eastAsia"/>
          <w:rtl/>
        </w:rPr>
        <w:t>ו</w:t>
      </w:r>
      <w:r w:rsidRPr="00530DD8">
        <w:rPr>
          <w:rtl/>
        </w:rPr>
        <w:t xml:space="preserve">-25(2) </w:t>
      </w:r>
      <w:r w:rsidRPr="00530DD8">
        <w:rPr>
          <w:rFonts w:hint="eastAsia"/>
          <w:rtl/>
        </w:rPr>
        <w:t>לחוק</w:t>
      </w:r>
      <w:r>
        <w:rPr>
          <w:rFonts w:hint="cs"/>
          <w:rtl/>
        </w:rPr>
        <w:t xml:space="preserve">. ואולם, </w:t>
      </w:r>
      <w:r>
        <w:rPr>
          <w:rFonts w:hint="eastAsia"/>
          <w:rtl/>
        </w:rPr>
        <w:t>בקש</w:t>
      </w:r>
      <w:r>
        <w:rPr>
          <w:rFonts w:hint="cs"/>
          <w:rtl/>
        </w:rPr>
        <w:t>תם לאימוץ נבחנת</w:t>
      </w:r>
      <w:r w:rsidRPr="00597004">
        <w:rPr>
          <w:rtl/>
        </w:rPr>
        <w:t xml:space="preserve"> </w:t>
      </w:r>
      <w:r w:rsidRPr="00597004">
        <w:rPr>
          <w:rFonts w:hint="eastAsia"/>
          <w:rtl/>
        </w:rPr>
        <w:t>רק</w:t>
      </w:r>
      <w:r w:rsidRPr="00597004">
        <w:rPr>
          <w:rtl/>
        </w:rPr>
        <w:t xml:space="preserve"> </w:t>
      </w:r>
      <w:r w:rsidRPr="00597004">
        <w:rPr>
          <w:rFonts w:hint="eastAsia"/>
          <w:rtl/>
        </w:rPr>
        <w:t>מקום</w:t>
      </w:r>
      <w:r w:rsidRPr="00597004">
        <w:rPr>
          <w:rtl/>
        </w:rPr>
        <w:t xml:space="preserve"> </w:t>
      </w:r>
      <w:r w:rsidRPr="00597004">
        <w:rPr>
          <w:rFonts w:hint="eastAsia"/>
          <w:rtl/>
        </w:rPr>
        <w:t>שבו</w:t>
      </w:r>
      <w:r w:rsidRPr="00597004">
        <w:rPr>
          <w:rtl/>
        </w:rPr>
        <w:t xml:space="preserve"> </w:t>
      </w:r>
      <w:r w:rsidRPr="00597004">
        <w:rPr>
          <w:rFonts w:hint="eastAsia"/>
          <w:rtl/>
        </w:rPr>
        <w:t>לא</w:t>
      </w:r>
      <w:r w:rsidRPr="00597004">
        <w:rPr>
          <w:rtl/>
        </w:rPr>
        <w:t xml:space="preserve"> </w:t>
      </w:r>
      <w:r w:rsidRPr="00597004">
        <w:rPr>
          <w:rFonts w:hint="eastAsia"/>
          <w:rtl/>
        </w:rPr>
        <w:t>ניתן</w:t>
      </w:r>
      <w:r w:rsidRPr="00597004">
        <w:rPr>
          <w:rtl/>
        </w:rPr>
        <w:t xml:space="preserve"> </w:t>
      </w:r>
      <w:r w:rsidRPr="00597004">
        <w:rPr>
          <w:rFonts w:hint="eastAsia"/>
          <w:rtl/>
        </w:rPr>
        <w:t>למסור</w:t>
      </w:r>
      <w:r w:rsidRPr="00597004">
        <w:rPr>
          <w:rtl/>
        </w:rPr>
        <w:t xml:space="preserve"> </w:t>
      </w:r>
      <w:r w:rsidRPr="00597004">
        <w:rPr>
          <w:rFonts w:hint="eastAsia"/>
          <w:rtl/>
        </w:rPr>
        <w:t>את</w:t>
      </w:r>
      <w:r w:rsidRPr="00597004">
        <w:rPr>
          <w:rtl/>
        </w:rPr>
        <w:t xml:space="preserve"> </w:t>
      </w:r>
      <w:r w:rsidRPr="00597004">
        <w:rPr>
          <w:rFonts w:hint="eastAsia"/>
          <w:rtl/>
        </w:rPr>
        <w:t>הילד</w:t>
      </w:r>
      <w:r w:rsidRPr="00597004">
        <w:rPr>
          <w:rtl/>
        </w:rPr>
        <w:t xml:space="preserve"> </w:t>
      </w:r>
      <w:r w:rsidRPr="00597004">
        <w:rPr>
          <w:rFonts w:hint="eastAsia"/>
          <w:rtl/>
        </w:rPr>
        <w:t>לאימוץ</w:t>
      </w:r>
      <w:r w:rsidRPr="00597004">
        <w:rPr>
          <w:rtl/>
        </w:rPr>
        <w:t xml:space="preserve"> </w:t>
      </w:r>
      <w:r w:rsidRPr="00597004">
        <w:rPr>
          <w:rFonts w:hint="eastAsia"/>
          <w:rtl/>
        </w:rPr>
        <w:t>על</w:t>
      </w:r>
      <w:r w:rsidRPr="00597004">
        <w:rPr>
          <w:rtl/>
        </w:rPr>
        <w:t xml:space="preserve"> </w:t>
      </w:r>
      <w:r>
        <w:rPr>
          <w:rFonts w:hint="eastAsia"/>
          <w:rtl/>
        </w:rPr>
        <w:t>יד</w:t>
      </w:r>
      <w:r w:rsidRPr="00597004">
        <w:rPr>
          <w:rFonts w:hint="eastAsia"/>
          <w:rtl/>
        </w:rPr>
        <w:t>י</w:t>
      </w:r>
      <w:r w:rsidRPr="00597004">
        <w:rPr>
          <w:rtl/>
        </w:rPr>
        <w:t xml:space="preserve"> </w:t>
      </w:r>
      <w:r w:rsidRPr="00597004">
        <w:rPr>
          <w:rFonts w:hint="eastAsia"/>
          <w:rtl/>
        </w:rPr>
        <w:t>בני</w:t>
      </w:r>
      <w:r w:rsidRPr="00597004">
        <w:rPr>
          <w:rtl/>
        </w:rPr>
        <w:t xml:space="preserve"> </w:t>
      </w:r>
      <w:r w:rsidRPr="00597004">
        <w:rPr>
          <w:rFonts w:hint="eastAsia"/>
          <w:rtl/>
        </w:rPr>
        <w:t>זוג</w:t>
      </w:r>
      <w:r w:rsidRPr="00597004">
        <w:rPr>
          <w:rtl/>
        </w:rPr>
        <w:t xml:space="preserve"> </w:t>
      </w:r>
      <w:r w:rsidRPr="00597004">
        <w:rPr>
          <w:rFonts w:hint="eastAsia"/>
          <w:rtl/>
        </w:rPr>
        <w:t>הטרוסקסואלים</w:t>
      </w:r>
      <w:r w:rsidRPr="00597004">
        <w:rPr>
          <w:rtl/>
        </w:rPr>
        <w:t xml:space="preserve"> </w:t>
      </w:r>
      <w:r>
        <w:rPr>
          <w:rFonts w:hint="cs"/>
          <w:rtl/>
        </w:rPr>
        <w:t xml:space="preserve">שהם </w:t>
      </w:r>
      <w:r w:rsidRPr="00597004">
        <w:rPr>
          <w:rtl/>
        </w:rPr>
        <w:t>"</w:t>
      </w:r>
      <w:r w:rsidRPr="00597004">
        <w:rPr>
          <w:rFonts w:hint="eastAsia"/>
          <w:rtl/>
        </w:rPr>
        <w:t>איש</w:t>
      </w:r>
      <w:r w:rsidRPr="00597004">
        <w:rPr>
          <w:rtl/>
        </w:rPr>
        <w:t xml:space="preserve"> </w:t>
      </w:r>
      <w:r w:rsidRPr="00597004">
        <w:rPr>
          <w:rFonts w:hint="eastAsia"/>
          <w:rtl/>
        </w:rPr>
        <w:t>ואשתו</w:t>
      </w:r>
      <w:r w:rsidRPr="00597004">
        <w:rPr>
          <w:rtl/>
        </w:rPr>
        <w:t xml:space="preserve"> </w:t>
      </w:r>
      <w:r w:rsidRPr="00597004">
        <w:rPr>
          <w:rFonts w:hint="eastAsia"/>
          <w:rtl/>
        </w:rPr>
        <w:t>יחד</w:t>
      </w:r>
      <w:r w:rsidRPr="00597004">
        <w:rPr>
          <w:rtl/>
        </w:rPr>
        <w:t xml:space="preserve">", </w:t>
      </w:r>
      <w:r w:rsidRPr="00597004">
        <w:rPr>
          <w:rFonts w:hint="eastAsia"/>
          <w:rtl/>
        </w:rPr>
        <w:t>כלשון</w:t>
      </w:r>
      <w:r w:rsidRPr="00597004">
        <w:rPr>
          <w:rtl/>
        </w:rPr>
        <w:t xml:space="preserve"> </w:t>
      </w:r>
      <w:r w:rsidRPr="00597004">
        <w:rPr>
          <w:rFonts w:hint="eastAsia"/>
          <w:rtl/>
        </w:rPr>
        <w:t>סעיף</w:t>
      </w:r>
      <w:r w:rsidRPr="00597004">
        <w:rPr>
          <w:rtl/>
        </w:rPr>
        <w:t xml:space="preserve"> 3 </w:t>
      </w:r>
      <w:r w:rsidRPr="00597004">
        <w:rPr>
          <w:rFonts w:hint="eastAsia"/>
          <w:rtl/>
        </w:rPr>
        <w:t>לחוק</w:t>
      </w:r>
      <w:r w:rsidRPr="00597004">
        <w:rPr>
          <w:rtl/>
        </w:rPr>
        <w:t xml:space="preserve">. </w:t>
      </w:r>
      <w:r>
        <w:rPr>
          <w:rFonts w:hint="cs"/>
          <w:rtl/>
        </w:rPr>
        <w:t xml:space="preserve"> </w:t>
      </w:r>
    </w:p>
    <w:p w:rsidR="0046011D" w:rsidRPr="00530DD8" w:rsidRDefault="0046011D" w:rsidP="0046011D">
      <w:pPr>
        <w:pStyle w:val="Ruller41"/>
        <w:rPr>
          <w:rtl/>
        </w:rPr>
      </w:pPr>
    </w:p>
    <w:p w:rsidR="0046011D" w:rsidRPr="006E7632" w:rsidRDefault="0046011D" w:rsidP="0046011D">
      <w:pPr>
        <w:pStyle w:val="Ruller41"/>
        <w:rPr>
          <w:rFonts w:ascii="Century" w:hAnsi="Century"/>
          <w:rtl/>
        </w:rPr>
      </w:pPr>
      <w:r>
        <w:rPr>
          <w:rtl/>
        </w:rPr>
        <w:tab/>
      </w:r>
      <w:r w:rsidRPr="00015456">
        <w:rPr>
          <w:rFonts w:hint="eastAsia"/>
          <w:rtl/>
        </w:rPr>
        <w:t>השאלה</w:t>
      </w:r>
      <w:r w:rsidRPr="00015456">
        <w:rPr>
          <w:rtl/>
        </w:rPr>
        <w:t xml:space="preserve"> </w:t>
      </w:r>
      <w:r w:rsidRPr="00015456">
        <w:rPr>
          <w:rFonts w:hint="eastAsia"/>
          <w:rtl/>
        </w:rPr>
        <w:t>הפרשנית</w:t>
      </w:r>
      <w:r w:rsidRPr="00015456">
        <w:rPr>
          <w:rtl/>
        </w:rPr>
        <w:t xml:space="preserve"> </w:t>
      </w:r>
      <w:r>
        <w:rPr>
          <w:rFonts w:hint="cs"/>
          <w:rtl/>
        </w:rPr>
        <w:t>שלפנינו</w:t>
      </w:r>
      <w:r>
        <w:rPr>
          <w:rFonts w:ascii="Century" w:hAnsi="Century" w:cs="Miriam" w:hint="cs"/>
          <w:b/>
          <w:spacing w:val="0"/>
          <w:szCs w:val="24"/>
          <w:rtl/>
        </w:rPr>
        <w:t xml:space="preserve"> </w:t>
      </w:r>
      <w:r>
        <w:rPr>
          <w:rFonts w:ascii="Century" w:hAnsi="Century" w:hint="cs"/>
          <w:rtl/>
        </w:rPr>
        <w:t xml:space="preserve">היא האם יש לפרש את התיבה "איש ואשתו יחד"  באופן שכולל גם בני זוג מאותו המין, ומבטל את העדיפות המוקנית לזוגות </w:t>
      </w:r>
      <w:r w:rsidRPr="006E7632">
        <w:rPr>
          <w:rFonts w:ascii="Century" w:hAnsi="Century" w:hint="cs"/>
          <w:rtl/>
        </w:rPr>
        <w:t xml:space="preserve">הטרוסקסואליים בהליך האימוץ.  </w:t>
      </w:r>
    </w:p>
    <w:p w:rsidR="0046011D" w:rsidRPr="006E7632" w:rsidRDefault="0046011D" w:rsidP="0046011D">
      <w:pPr>
        <w:pStyle w:val="Ruller41"/>
        <w:rPr>
          <w:rFonts w:ascii="Century" w:hAnsi="Century" w:cs="Miriam"/>
          <w:b/>
          <w:spacing w:val="0"/>
          <w:szCs w:val="24"/>
          <w:rtl/>
        </w:rPr>
      </w:pPr>
    </w:p>
    <w:p w:rsidR="0046011D" w:rsidRPr="006E7632" w:rsidRDefault="0046011D" w:rsidP="0046011D">
      <w:pPr>
        <w:pStyle w:val="Ruller41"/>
        <w:rPr>
          <w:rFonts w:ascii="Century" w:hAnsi="Century"/>
          <w:rtl/>
        </w:rPr>
      </w:pPr>
      <w:r w:rsidRPr="006E7632">
        <w:rPr>
          <w:rFonts w:ascii="Century" w:hAnsi="Century" w:cs="Miriam" w:hint="cs"/>
          <w:b/>
          <w:spacing w:val="0"/>
          <w:szCs w:val="24"/>
          <w:rtl/>
        </w:rPr>
        <w:t>רקע</w:t>
      </w:r>
    </w:p>
    <w:p w:rsidR="0046011D" w:rsidRPr="006E7632" w:rsidRDefault="0046011D" w:rsidP="0046011D">
      <w:pPr>
        <w:pStyle w:val="Ruller41"/>
        <w:rPr>
          <w:rtl/>
        </w:rPr>
      </w:pPr>
    </w:p>
    <w:p w:rsidR="0046011D" w:rsidRPr="006E7632" w:rsidRDefault="0046011D" w:rsidP="0046011D">
      <w:pPr>
        <w:pStyle w:val="Ruller4"/>
        <w:rPr>
          <w:rFonts w:ascii="Century" w:hAnsi="Century"/>
          <w:rtl/>
        </w:rPr>
      </w:pPr>
      <w:r w:rsidRPr="006E7632">
        <w:rPr>
          <w:rFonts w:hint="cs"/>
          <w:rtl/>
        </w:rPr>
        <w:t xml:space="preserve">סוגיית האימוץ על ידי זוגות מאותו המין ידעה התפתחויות לא מעטות לאורך השנים. </w:t>
      </w:r>
      <w:r w:rsidRPr="006E7632">
        <w:rPr>
          <w:rFonts w:ascii="Century" w:hAnsi="Century" w:hint="cs"/>
          <w:rtl/>
        </w:rPr>
        <w:t xml:space="preserve">נקודת הציון הראשונה החשובה לענייננו היא הכרעת בית משפט זה בפרשת </w:t>
      </w:r>
      <w:proofErr w:type="spellStart"/>
      <w:r w:rsidRPr="006E7632">
        <w:rPr>
          <w:rFonts w:ascii="Century" w:hAnsi="Century" w:cs="Miriam" w:hint="cs"/>
          <w:b/>
          <w:spacing w:val="0"/>
          <w:sz w:val="22"/>
          <w:szCs w:val="24"/>
          <w:rtl/>
        </w:rPr>
        <w:t>ירוס</w:t>
      </w:r>
      <w:proofErr w:type="spellEnd"/>
      <w:r w:rsidRPr="006E7632">
        <w:rPr>
          <w:rFonts w:ascii="Century" w:hAnsi="Century" w:cs="Miriam" w:hint="cs"/>
          <w:b/>
          <w:spacing w:val="0"/>
          <w:sz w:val="22"/>
          <w:szCs w:val="24"/>
          <w:rtl/>
        </w:rPr>
        <w:t xml:space="preserve">-חקק </w:t>
      </w:r>
      <w:r w:rsidRPr="006E7632">
        <w:rPr>
          <w:rFonts w:hint="cs"/>
          <w:rtl/>
        </w:rPr>
        <w:t>(ע</w:t>
      </w:r>
      <w:r w:rsidRPr="006E7632">
        <w:rPr>
          <w:rtl/>
        </w:rPr>
        <w:t>"</w:t>
      </w:r>
      <w:r w:rsidRPr="006E7632">
        <w:rPr>
          <w:rFonts w:hint="eastAsia"/>
          <w:rtl/>
        </w:rPr>
        <w:t>א</w:t>
      </w:r>
      <w:r w:rsidRPr="006E7632">
        <w:rPr>
          <w:rtl/>
        </w:rPr>
        <w:t xml:space="preserve"> 10280/01 </w:t>
      </w:r>
      <w:proofErr w:type="spellStart"/>
      <w:r w:rsidRPr="006E7632">
        <w:rPr>
          <w:rFonts w:cs="Miriam" w:hint="cs"/>
          <w:b/>
          <w:spacing w:val="0"/>
          <w:szCs w:val="24"/>
          <w:rtl/>
        </w:rPr>
        <w:t>ירוס</w:t>
      </w:r>
      <w:proofErr w:type="spellEnd"/>
      <w:r w:rsidRPr="006E7632">
        <w:rPr>
          <w:rFonts w:cs="Miriam" w:hint="cs"/>
          <w:b/>
          <w:spacing w:val="0"/>
          <w:szCs w:val="24"/>
          <w:rtl/>
        </w:rPr>
        <w:t xml:space="preserve">-חקק </w:t>
      </w:r>
      <w:r w:rsidRPr="006E7632">
        <w:rPr>
          <w:rFonts w:cs="Miriam" w:hint="eastAsia"/>
          <w:b/>
          <w:spacing w:val="0"/>
          <w:szCs w:val="24"/>
          <w:rtl/>
        </w:rPr>
        <w:t>נ</w:t>
      </w:r>
      <w:r w:rsidRPr="006E7632">
        <w:rPr>
          <w:rFonts w:cs="Miriam"/>
          <w:b/>
          <w:spacing w:val="0"/>
          <w:szCs w:val="24"/>
          <w:rtl/>
        </w:rPr>
        <w:t xml:space="preserve">' </w:t>
      </w:r>
      <w:r w:rsidRPr="006E7632">
        <w:rPr>
          <w:rFonts w:cs="Miriam" w:hint="eastAsia"/>
          <w:b/>
          <w:spacing w:val="0"/>
          <w:szCs w:val="24"/>
          <w:rtl/>
        </w:rPr>
        <w:t>היועץ</w:t>
      </w:r>
      <w:r w:rsidRPr="006E7632">
        <w:rPr>
          <w:rFonts w:cs="Miriam"/>
          <w:b/>
          <w:spacing w:val="0"/>
          <w:szCs w:val="24"/>
          <w:rtl/>
        </w:rPr>
        <w:t xml:space="preserve"> </w:t>
      </w:r>
      <w:r w:rsidRPr="006E7632">
        <w:rPr>
          <w:rFonts w:cs="Miriam" w:hint="eastAsia"/>
          <w:b/>
          <w:spacing w:val="0"/>
          <w:szCs w:val="24"/>
          <w:rtl/>
        </w:rPr>
        <w:t>המשפטי</w:t>
      </w:r>
      <w:r w:rsidRPr="006E7632">
        <w:rPr>
          <w:rFonts w:cs="Miriam"/>
          <w:b/>
          <w:spacing w:val="0"/>
          <w:szCs w:val="24"/>
          <w:rtl/>
        </w:rPr>
        <w:t xml:space="preserve"> </w:t>
      </w:r>
      <w:r w:rsidRPr="006E7632">
        <w:rPr>
          <w:rFonts w:cs="Miriam" w:hint="eastAsia"/>
          <w:b/>
          <w:spacing w:val="0"/>
          <w:szCs w:val="24"/>
          <w:rtl/>
        </w:rPr>
        <w:t>לממשלה</w:t>
      </w:r>
      <w:r w:rsidRPr="006E7632">
        <w:rPr>
          <w:rtl/>
        </w:rPr>
        <w:t xml:space="preserve">, </w:t>
      </w:r>
      <w:r w:rsidRPr="006E7632">
        <w:rPr>
          <w:rFonts w:hint="cs"/>
          <w:rtl/>
        </w:rPr>
        <w:t xml:space="preserve">פ"ד </w:t>
      </w:r>
      <w:r w:rsidRPr="006E7632">
        <w:rPr>
          <w:rFonts w:hint="eastAsia"/>
          <w:rtl/>
        </w:rPr>
        <w:t>נט</w:t>
      </w:r>
      <w:r w:rsidRPr="006E7632">
        <w:rPr>
          <w:rtl/>
        </w:rPr>
        <w:t>(5) 64 (2005)</w:t>
      </w:r>
      <w:r w:rsidRPr="006E7632">
        <w:rPr>
          <w:rFonts w:hint="cs"/>
          <w:rtl/>
        </w:rPr>
        <w:t xml:space="preserve">; להלן: עניין </w:t>
      </w:r>
      <w:proofErr w:type="spellStart"/>
      <w:r w:rsidRPr="006E7632">
        <w:rPr>
          <w:rFonts w:ascii="Century" w:hAnsi="Century" w:cs="Miriam" w:hint="cs"/>
          <w:b/>
          <w:spacing w:val="0"/>
          <w:szCs w:val="24"/>
          <w:rtl/>
        </w:rPr>
        <w:t>ירוס</w:t>
      </w:r>
      <w:proofErr w:type="spellEnd"/>
      <w:r w:rsidRPr="006E7632">
        <w:rPr>
          <w:rFonts w:ascii="Century" w:hAnsi="Century" w:cs="Miriam" w:hint="cs"/>
          <w:b/>
          <w:spacing w:val="0"/>
          <w:szCs w:val="24"/>
          <w:rtl/>
        </w:rPr>
        <w:t>-חקק</w:t>
      </w:r>
      <w:r w:rsidRPr="006E7632">
        <w:rPr>
          <w:rFonts w:hint="cs"/>
          <w:rtl/>
        </w:rPr>
        <w:t>).</w:t>
      </w:r>
      <w:r w:rsidRPr="006E7632">
        <w:rPr>
          <w:rFonts w:ascii="Century" w:hAnsi="Century" w:cs="Miriam" w:hint="cs"/>
          <w:b/>
          <w:spacing w:val="0"/>
          <w:sz w:val="22"/>
          <w:szCs w:val="24"/>
          <w:rtl/>
        </w:rPr>
        <w:t xml:space="preserve"> </w:t>
      </w:r>
      <w:r w:rsidRPr="006E7632">
        <w:rPr>
          <w:rFonts w:ascii="Century" w:hAnsi="Century" w:hint="cs"/>
          <w:sz w:val="22"/>
          <w:rtl/>
        </w:rPr>
        <w:t>בפרשה זו נדון עניינן של זוג לסביות אשר ב</w:t>
      </w:r>
      <w:r w:rsidRPr="006E7632">
        <w:rPr>
          <w:rFonts w:hint="eastAsia"/>
          <w:rtl/>
        </w:rPr>
        <w:t>מהלך</w:t>
      </w:r>
      <w:r w:rsidRPr="006E7632">
        <w:rPr>
          <w:rtl/>
        </w:rPr>
        <w:t xml:space="preserve"> </w:t>
      </w:r>
      <w:r w:rsidRPr="006E7632">
        <w:rPr>
          <w:rFonts w:hint="eastAsia"/>
          <w:rtl/>
        </w:rPr>
        <w:t>חייהן</w:t>
      </w:r>
      <w:r w:rsidRPr="006E7632">
        <w:rPr>
          <w:rtl/>
        </w:rPr>
        <w:t xml:space="preserve"> </w:t>
      </w:r>
      <w:r w:rsidRPr="006E7632">
        <w:rPr>
          <w:rFonts w:hint="eastAsia"/>
          <w:rtl/>
        </w:rPr>
        <w:t>המשותפים</w:t>
      </w:r>
      <w:r w:rsidRPr="006E7632">
        <w:rPr>
          <w:rtl/>
        </w:rPr>
        <w:t xml:space="preserve"> </w:t>
      </w:r>
      <w:r w:rsidRPr="006E7632">
        <w:rPr>
          <w:rFonts w:hint="eastAsia"/>
          <w:rtl/>
        </w:rPr>
        <w:t>החליטו</w:t>
      </w:r>
      <w:r w:rsidRPr="006E7632">
        <w:rPr>
          <w:rtl/>
        </w:rPr>
        <w:t xml:space="preserve"> </w:t>
      </w:r>
      <w:r w:rsidRPr="006E7632">
        <w:rPr>
          <w:rFonts w:hint="eastAsia"/>
          <w:rtl/>
        </w:rPr>
        <w:t>להביא</w:t>
      </w:r>
      <w:r w:rsidRPr="006E7632">
        <w:rPr>
          <w:rtl/>
        </w:rPr>
        <w:t xml:space="preserve"> </w:t>
      </w:r>
      <w:r w:rsidRPr="006E7632">
        <w:rPr>
          <w:rFonts w:hint="eastAsia"/>
          <w:rtl/>
        </w:rPr>
        <w:t>ילדים</w:t>
      </w:r>
      <w:r w:rsidRPr="006E7632">
        <w:rPr>
          <w:rtl/>
        </w:rPr>
        <w:t xml:space="preserve"> </w:t>
      </w:r>
      <w:r w:rsidRPr="006E7632">
        <w:rPr>
          <w:rFonts w:hint="eastAsia"/>
          <w:rtl/>
        </w:rPr>
        <w:t>לעולם</w:t>
      </w:r>
      <w:r w:rsidRPr="006E7632">
        <w:rPr>
          <w:rtl/>
        </w:rPr>
        <w:t xml:space="preserve">, </w:t>
      </w:r>
      <w:r w:rsidRPr="006E7632">
        <w:rPr>
          <w:rFonts w:hint="eastAsia"/>
          <w:rtl/>
        </w:rPr>
        <w:t>באופן</w:t>
      </w:r>
      <w:r w:rsidRPr="006E7632">
        <w:rPr>
          <w:rtl/>
        </w:rPr>
        <w:t xml:space="preserve"> </w:t>
      </w:r>
      <w:r w:rsidRPr="006E7632">
        <w:rPr>
          <w:rFonts w:hint="eastAsia"/>
          <w:rtl/>
        </w:rPr>
        <w:t>שכל</w:t>
      </w:r>
      <w:r w:rsidRPr="006E7632">
        <w:rPr>
          <w:rtl/>
        </w:rPr>
        <w:t xml:space="preserve"> </w:t>
      </w:r>
      <w:r w:rsidRPr="006E7632">
        <w:rPr>
          <w:rFonts w:hint="eastAsia"/>
          <w:rtl/>
        </w:rPr>
        <w:t>אחת</w:t>
      </w:r>
      <w:r w:rsidRPr="006E7632">
        <w:rPr>
          <w:rtl/>
        </w:rPr>
        <w:t xml:space="preserve"> </w:t>
      </w:r>
      <w:r w:rsidRPr="006E7632">
        <w:rPr>
          <w:rFonts w:hint="eastAsia"/>
          <w:rtl/>
        </w:rPr>
        <w:t>מ</w:t>
      </w:r>
      <w:r w:rsidRPr="006E7632">
        <w:rPr>
          <w:rFonts w:hint="cs"/>
          <w:rtl/>
        </w:rPr>
        <w:t>ה</w:t>
      </w:r>
      <w:r w:rsidRPr="006E7632">
        <w:rPr>
          <w:rFonts w:hint="eastAsia"/>
          <w:rtl/>
        </w:rPr>
        <w:t>ן</w:t>
      </w:r>
      <w:r w:rsidRPr="006E7632">
        <w:rPr>
          <w:rtl/>
        </w:rPr>
        <w:t xml:space="preserve"> </w:t>
      </w:r>
      <w:r w:rsidRPr="006E7632">
        <w:rPr>
          <w:rFonts w:hint="eastAsia"/>
          <w:rtl/>
        </w:rPr>
        <w:t>הר</w:t>
      </w:r>
      <w:r w:rsidRPr="006E7632">
        <w:rPr>
          <w:rFonts w:hint="cs"/>
          <w:rtl/>
        </w:rPr>
        <w:t>ת</w:t>
      </w:r>
      <w:r w:rsidRPr="006E7632">
        <w:rPr>
          <w:rFonts w:hint="eastAsia"/>
          <w:rtl/>
        </w:rPr>
        <w:t>ה</w:t>
      </w:r>
      <w:r w:rsidRPr="006E7632">
        <w:rPr>
          <w:rtl/>
        </w:rPr>
        <w:t xml:space="preserve"> </w:t>
      </w:r>
      <w:r w:rsidRPr="006E7632">
        <w:rPr>
          <w:rFonts w:hint="eastAsia"/>
          <w:rtl/>
        </w:rPr>
        <w:t>מתרומת</w:t>
      </w:r>
      <w:r w:rsidRPr="006E7632">
        <w:rPr>
          <w:rtl/>
        </w:rPr>
        <w:t xml:space="preserve"> </w:t>
      </w:r>
      <w:r w:rsidRPr="006E7632">
        <w:rPr>
          <w:rFonts w:hint="eastAsia"/>
          <w:rtl/>
        </w:rPr>
        <w:t>זרע</w:t>
      </w:r>
      <w:r w:rsidRPr="006E7632">
        <w:rPr>
          <w:rtl/>
        </w:rPr>
        <w:t xml:space="preserve"> </w:t>
      </w:r>
      <w:r w:rsidRPr="006E7632">
        <w:rPr>
          <w:rFonts w:hint="eastAsia"/>
          <w:rtl/>
        </w:rPr>
        <w:t>של</w:t>
      </w:r>
      <w:r w:rsidRPr="006E7632">
        <w:rPr>
          <w:rtl/>
        </w:rPr>
        <w:t xml:space="preserve"> </w:t>
      </w:r>
      <w:r w:rsidRPr="006E7632">
        <w:rPr>
          <w:rFonts w:hint="eastAsia"/>
          <w:rtl/>
        </w:rPr>
        <w:t>תורם</w:t>
      </w:r>
      <w:r w:rsidRPr="006E7632">
        <w:rPr>
          <w:rtl/>
        </w:rPr>
        <w:t xml:space="preserve"> </w:t>
      </w:r>
      <w:r w:rsidRPr="006E7632">
        <w:rPr>
          <w:rFonts w:hint="eastAsia"/>
          <w:rtl/>
        </w:rPr>
        <w:t>אנונימי</w:t>
      </w:r>
      <w:r w:rsidRPr="006E7632">
        <w:rPr>
          <w:rtl/>
        </w:rPr>
        <w:t>.</w:t>
      </w:r>
      <w:r w:rsidRPr="006E7632">
        <w:rPr>
          <w:rFonts w:hint="cs"/>
          <w:rtl/>
        </w:rPr>
        <w:t xml:space="preserve"> כל אחת מבנות הזוג ביקשה לאמץ את הילד בעל הזיקה הביולוגית לאחרת ("אימוץ צולב"). בית משפט זה קבע בהרכב מורחב כי ניתן לאשר אימוץ כאמור, ככל שהדבר עולה בקנה אחד עם טובתם של הילדים. </w:t>
      </w:r>
      <w:r w:rsidRPr="006E7632">
        <w:rPr>
          <w:rFonts w:ascii="Century" w:hAnsi="Century" w:hint="cs"/>
          <w:rtl/>
        </w:rPr>
        <w:t xml:space="preserve">בקשתן של העותרות התבססה </w:t>
      </w:r>
      <w:r w:rsidRPr="006E7632">
        <w:rPr>
          <w:rFonts w:hint="cs"/>
          <w:rtl/>
        </w:rPr>
        <w:t xml:space="preserve">על החלופה שקבועה בסעיף 3(2) לחוק האימוץ, שלפיו כאמור בית המשפט רשאי </w:t>
      </w:r>
      <w:proofErr w:type="spellStart"/>
      <w:r w:rsidRPr="006E7632">
        <w:rPr>
          <w:rFonts w:hint="cs"/>
          <w:rtl/>
        </w:rPr>
        <w:t>ליתן</w:t>
      </w:r>
      <w:proofErr w:type="spellEnd"/>
      <w:r w:rsidRPr="006E7632">
        <w:rPr>
          <w:rFonts w:hint="cs"/>
          <w:rtl/>
        </w:rPr>
        <w:t xml:space="preserve"> צו אימוץ למאמץ יחיד, </w:t>
      </w:r>
      <w:r w:rsidRPr="006E7632">
        <w:rPr>
          <w:rFonts w:ascii="Century" w:hAnsi="Century" w:hint="cs"/>
          <w:rtl/>
        </w:rPr>
        <w:t xml:space="preserve">שהוא קרוב משפחתו של המאומץ, בנסיבות שבהן הוריו נפטרו. בית המשפט קיבל את בקשתן, וקבע כי בהתאם לסעיף 25(2),  ניתן לאשר אימוץ אף אם חלק מתנאי הסעיף לא מתקיימים </w:t>
      </w:r>
      <w:r w:rsidRPr="006E7632">
        <w:rPr>
          <w:rFonts w:ascii="Century" w:hAnsi="Century"/>
          <w:rtl/>
        </w:rPr>
        <w:t>–</w:t>
      </w:r>
      <w:r w:rsidRPr="006E7632">
        <w:rPr>
          <w:rFonts w:ascii="Century" w:hAnsi="Century" w:hint="cs"/>
          <w:rtl/>
        </w:rPr>
        <w:t xml:space="preserve"> קרי כאשר הורי המאומץ לא נפטרו והמאמץ אינו קרוב משפחתו של המאומץ </w:t>
      </w:r>
      <w:r w:rsidRPr="006E7632">
        <w:rPr>
          <w:rFonts w:ascii="Century" w:hAnsi="Century"/>
          <w:rtl/>
        </w:rPr>
        <w:t>–</w:t>
      </w:r>
      <w:r w:rsidRPr="006E7632">
        <w:rPr>
          <w:rFonts w:ascii="Century" w:hAnsi="Century" w:hint="cs"/>
          <w:rtl/>
        </w:rPr>
        <w:t xml:space="preserve"> בנסיבות מיוחדות וככל שהדבר הוא לטובת המאומץ</w:t>
      </w:r>
      <w:r w:rsidR="00FE33C6">
        <w:rPr>
          <w:rFonts w:ascii="Century" w:hAnsi="Century" w:hint="cs"/>
          <w:rtl/>
        </w:rPr>
        <w:t>.</w:t>
      </w:r>
      <w:r w:rsidRPr="006E7632">
        <w:rPr>
          <w:rFonts w:ascii="Century" w:hAnsi="Century" w:hint="cs"/>
          <w:rtl/>
        </w:rPr>
        <w:t xml:space="preserve"> בפרשה זו, לא נדרש בית המשפט להכריע בשאלה אם זוג מאותו המין הוא בגדר "איש ואשתו יחד", ואולם חלק משופטי ההרכב יצאו מנקודת הנחה כי תיבה זו לא חלה על זוגות מאותו המין</w:t>
      </w:r>
      <w:r w:rsidRPr="006E7632">
        <w:rPr>
          <w:rFonts w:hint="cs"/>
          <w:rtl/>
        </w:rPr>
        <w:t>.</w:t>
      </w:r>
      <w:r w:rsidRPr="006E7632">
        <w:rPr>
          <w:rFonts w:ascii="Century" w:hAnsi="Century" w:hint="cs"/>
          <w:rtl/>
        </w:rPr>
        <w:t xml:space="preserve"> </w:t>
      </w:r>
    </w:p>
    <w:p w:rsidR="0046011D" w:rsidRPr="009E617F" w:rsidRDefault="0046011D" w:rsidP="0046011D">
      <w:pPr>
        <w:pStyle w:val="Ruller41"/>
        <w:rPr>
          <w:rtl/>
        </w:rPr>
      </w:pPr>
    </w:p>
    <w:p w:rsidR="0046011D" w:rsidRPr="00F91896" w:rsidRDefault="0046011D" w:rsidP="0046011D">
      <w:pPr>
        <w:pStyle w:val="Ruller4"/>
        <w:rPr>
          <w:rFonts w:ascii="Century" w:hAnsi="Century" w:cs="Miriam"/>
          <w:b/>
          <w:spacing w:val="0"/>
          <w:sz w:val="22"/>
          <w:szCs w:val="24"/>
          <w:rtl/>
        </w:rPr>
      </w:pPr>
      <w:r>
        <w:rPr>
          <w:rFonts w:ascii="Century" w:hAnsi="Century" w:hint="cs"/>
          <w:sz w:val="22"/>
          <w:rtl/>
        </w:rPr>
        <w:t>בשנת 2008 הובאה לפתחו של היועץ המשפטי לממשלה דאז, מני מזוז, שאלת אימוץ על ידי זוגות מאותו המין מחוץ לתא המשפחתי, קרי בנסיבות שבהן הילד המועמד לאימוץ נמסר לשירות למען הילד והוא אינו קרוב משפחה של מי מהמועמדים לאמצו. במסגרת זאת, היועץ הנחה כי</w:t>
      </w:r>
      <w:r>
        <w:rPr>
          <w:rFonts w:ascii="Century" w:hAnsi="Century" w:cs="Miriam" w:hint="cs"/>
          <w:b/>
          <w:spacing w:val="0"/>
          <w:sz w:val="22"/>
          <w:szCs w:val="24"/>
          <w:rtl/>
        </w:rPr>
        <w:t xml:space="preserve"> </w:t>
      </w:r>
      <w:r>
        <w:rPr>
          <w:rFonts w:ascii="Century" w:hAnsi="Century" w:hint="cs"/>
          <w:sz w:val="22"/>
          <w:rtl/>
        </w:rPr>
        <w:t>ניתן לאפשר אימוץ אף בנסיבות האמורות, וזאת</w:t>
      </w:r>
      <w:r>
        <w:rPr>
          <w:rFonts w:ascii="Century" w:hAnsi="Century" w:cs="Miriam" w:hint="cs"/>
          <w:b/>
          <w:spacing w:val="0"/>
          <w:sz w:val="22"/>
          <w:szCs w:val="24"/>
          <w:rtl/>
        </w:rPr>
        <w:t xml:space="preserve"> </w:t>
      </w:r>
      <w:r>
        <w:rPr>
          <w:rFonts w:hint="cs"/>
          <w:rtl/>
        </w:rPr>
        <w:t xml:space="preserve">באמצעות הגשת שתי בקשות לאימוץ יחיד לפי סעיף 3(2) לחוק האימוץ, בשילוב עם סעיף 25(2). </w:t>
      </w:r>
      <w:r>
        <w:rPr>
          <w:rFonts w:hint="cs"/>
          <w:rtl/>
        </w:rPr>
        <w:lastRenderedPageBreak/>
        <w:t>צוין כי אף אם מבחינה דיונית מדובר בשתי בקשות נפרדות לאימוץ יחיד, ראוי לאחד את הטיפול בשתי הבקשות ולקבל בהן החלטה במאוחד.</w:t>
      </w:r>
      <w:r w:rsidRPr="00F91896">
        <w:rPr>
          <w:rFonts w:ascii="Century" w:hAnsi="Century" w:hint="cs"/>
          <w:sz w:val="22"/>
          <w:rtl/>
        </w:rPr>
        <w:t xml:space="preserve"> </w:t>
      </w:r>
      <w:r>
        <w:rPr>
          <w:rFonts w:hint="cs"/>
          <w:rtl/>
        </w:rPr>
        <w:t xml:space="preserve">צוין כי הנחיה זו מתבססת על פרשנותו של בית משפט זה בפרשת </w:t>
      </w:r>
      <w:proofErr w:type="spellStart"/>
      <w:r w:rsidRPr="00F91896">
        <w:rPr>
          <w:rFonts w:ascii="Century" w:hAnsi="Century" w:cs="Miriam" w:hint="cs"/>
          <w:b/>
          <w:spacing w:val="0"/>
          <w:sz w:val="22"/>
          <w:szCs w:val="24"/>
          <w:rtl/>
        </w:rPr>
        <w:t>ירוס</w:t>
      </w:r>
      <w:proofErr w:type="spellEnd"/>
      <w:r w:rsidRPr="00F91896">
        <w:rPr>
          <w:rFonts w:ascii="Century" w:hAnsi="Century" w:cs="Miriam" w:hint="cs"/>
          <w:b/>
          <w:spacing w:val="0"/>
          <w:sz w:val="22"/>
          <w:szCs w:val="24"/>
          <w:rtl/>
        </w:rPr>
        <w:t>-חקק</w:t>
      </w:r>
      <w:r>
        <w:rPr>
          <w:rFonts w:hint="cs"/>
          <w:rtl/>
        </w:rPr>
        <w:t xml:space="preserve"> לסעיף 25(2), שלפיה</w:t>
      </w:r>
      <w:r w:rsidRPr="00F91896">
        <w:rPr>
          <w:rFonts w:ascii="Century" w:hAnsi="Century" w:cs="Miriam" w:hint="cs"/>
          <w:b/>
          <w:spacing w:val="0"/>
          <w:sz w:val="22"/>
          <w:szCs w:val="24"/>
          <w:rtl/>
        </w:rPr>
        <w:t xml:space="preserve"> </w:t>
      </w:r>
      <w:r w:rsidRPr="00F91896">
        <w:rPr>
          <w:rFonts w:ascii="Century" w:hAnsi="Century" w:hint="cs"/>
          <w:sz w:val="22"/>
          <w:rtl/>
        </w:rPr>
        <w:t>ניתן לעשות שימוש בשיקול של טובת הילד,</w:t>
      </w:r>
      <w:r>
        <w:rPr>
          <w:rFonts w:hint="cs"/>
          <w:rtl/>
        </w:rPr>
        <w:t xml:space="preserve"> גם כאשר מדובר בקשה של זוגות מאותו המין, וזאת באותן נסיבות שבהן ניתן היה למסרו לאימוץ לאדם יחיד (להלן: </w:t>
      </w:r>
      <w:r w:rsidRPr="00F151D9">
        <w:rPr>
          <w:rFonts w:ascii="Century" w:hAnsi="Century" w:cs="Miriam" w:hint="cs"/>
          <w:b/>
          <w:spacing w:val="0"/>
          <w:sz w:val="22"/>
          <w:szCs w:val="24"/>
          <w:rtl/>
        </w:rPr>
        <w:t>הנחיית היועץ</w:t>
      </w:r>
      <w:r>
        <w:rPr>
          <w:rFonts w:ascii="Century" w:hAnsi="Century" w:cs="Miriam" w:hint="cs"/>
          <w:b/>
          <w:spacing w:val="0"/>
          <w:sz w:val="22"/>
          <w:szCs w:val="24"/>
          <w:rtl/>
        </w:rPr>
        <w:t xml:space="preserve"> משנת 2008 </w:t>
      </w:r>
      <w:r w:rsidRPr="00F151D9">
        <w:rPr>
          <w:rFonts w:ascii="Century" w:hAnsi="Century" w:hint="cs"/>
          <w:sz w:val="22"/>
          <w:rtl/>
        </w:rPr>
        <w:t>או</w:t>
      </w:r>
      <w:r>
        <w:rPr>
          <w:rFonts w:ascii="Century" w:hAnsi="Century" w:cs="Miriam" w:hint="cs"/>
          <w:b/>
          <w:spacing w:val="0"/>
          <w:sz w:val="22"/>
          <w:szCs w:val="24"/>
          <w:rtl/>
        </w:rPr>
        <w:t xml:space="preserve"> ההנחיה</w:t>
      </w:r>
      <w:r>
        <w:rPr>
          <w:rFonts w:hint="cs"/>
          <w:rtl/>
        </w:rPr>
        <w:t xml:space="preserve">). לצד האמור, נקבע כי פרשנות שלפיה בני הזוג באים בגדרו של סעיף 3 רישא "איש ואשתו יחדיו" מעלה קשיים משמעותיים, ולפיכך "אין לנקוט בפרשנות כזו, בשלב זה לפחות; זאת במיוחד כאשר בענייננו ישנן חלופות אחרות, פחות בעייתיות, להסדרת אימוץ על ידי זוגות חד-מיניים" (סעיף 6 להנחיה). </w:t>
      </w:r>
    </w:p>
    <w:p w:rsidR="0046011D" w:rsidRDefault="0046011D" w:rsidP="0046011D">
      <w:pPr>
        <w:pStyle w:val="Ruller41"/>
        <w:rPr>
          <w:rtl/>
        </w:rPr>
      </w:pPr>
    </w:p>
    <w:p w:rsidR="0046011D" w:rsidRPr="009E2F08" w:rsidRDefault="0046011D" w:rsidP="0046011D">
      <w:pPr>
        <w:pStyle w:val="Ruller4"/>
      </w:pPr>
      <w:r>
        <w:rPr>
          <w:rFonts w:hint="cs"/>
          <w:rtl/>
        </w:rPr>
        <w:t>בהתאם לפרשנות שאומצה בהנחיית היועץ משנת 2008 ולאופן יישומה על ידי השירות למען הילד, ניתנת עד היום עדיפות לזוג מאמצים</w:t>
      </w:r>
      <w:r w:rsidRPr="00756DA4">
        <w:rPr>
          <w:rFonts w:hint="cs"/>
          <w:rtl/>
        </w:rPr>
        <w:t xml:space="preserve"> </w:t>
      </w:r>
      <w:r>
        <w:rPr>
          <w:rFonts w:hint="cs"/>
          <w:rtl/>
        </w:rPr>
        <w:t xml:space="preserve">הטרוסקסואליים שבאים בגדרי סעיף 3 רישא והם "איש ואשתו יחדיו". רק מקום שבו לא ניתן למסור את הילד לבני זוג הטרוסקסואליים וניתן לשקול אימוץ בידי מאמץ יחיד, נשקלת בקשתם של זוג מאותו המין. כלומר, רק בנסיבות שבהן לא נמצא זוג הטרוסקסואלי שיוכל לאמץ ילד פלוני, תישקל בקשתם של בני זוג מאותו המין. במצב דברים זה, הילדים אשר נמסרים לאימוץ לזוגות מאותו המין הם מבוגרים יחסית, וכן מרקע מורכב או בעלי צרכים מיוחדים (וראו: סעיף 19 לתגובה המשלימה מטעם </w:t>
      </w:r>
      <w:r w:rsidRPr="009E2F08">
        <w:rPr>
          <w:rFonts w:hint="cs"/>
          <w:rtl/>
        </w:rPr>
        <w:t xml:space="preserve">המשיבים מיום 2.8.2023). בהקשר זה, </w:t>
      </w:r>
      <w:r w:rsidRPr="009E2F08">
        <w:rPr>
          <w:rFonts w:ascii="FrankRuehl" w:hAnsi="FrankRuehl" w:hint="cs"/>
          <w:sz w:val="28"/>
          <w:rtl/>
        </w:rPr>
        <w:t xml:space="preserve">המדינה הציגה נתונים שלפיהם בין השנים 2022-2015 נמסרו לאימוץ לזוגות מאותו </w:t>
      </w:r>
      <w:r>
        <w:rPr>
          <w:rFonts w:ascii="FrankRuehl" w:hAnsi="FrankRuehl" w:hint="cs"/>
          <w:sz w:val="28"/>
          <w:rtl/>
        </w:rPr>
        <w:t>ה</w:t>
      </w:r>
      <w:r w:rsidRPr="009E2F08">
        <w:rPr>
          <w:rFonts w:ascii="FrankRuehl" w:hAnsi="FrankRuehl" w:hint="cs"/>
          <w:sz w:val="28"/>
          <w:rtl/>
        </w:rPr>
        <w:t xml:space="preserve">מין 4 ילדים; באותה התקופה נמסרו </w:t>
      </w:r>
      <w:r>
        <w:rPr>
          <w:rFonts w:ascii="FrankRuehl" w:hAnsi="FrankRuehl" w:hint="cs"/>
          <w:sz w:val="28"/>
          <w:rtl/>
        </w:rPr>
        <w:t>359</w:t>
      </w:r>
      <w:r w:rsidRPr="009E2F08">
        <w:rPr>
          <w:rFonts w:ascii="FrankRuehl" w:hAnsi="FrankRuehl" w:hint="cs"/>
          <w:sz w:val="28"/>
          <w:rtl/>
        </w:rPr>
        <w:t xml:space="preserve"> ילדים לאימ</w:t>
      </w:r>
      <w:r>
        <w:rPr>
          <w:rFonts w:ascii="FrankRuehl" w:hAnsi="FrankRuehl" w:hint="cs"/>
          <w:sz w:val="28"/>
          <w:rtl/>
        </w:rPr>
        <w:t>וץ לזוגות הטרוסקסואלים (וראו: סעיף 19 לתגובה משלימה מטעם המשיבים מיום</w:t>
      </w:r>
      <w:r w:rsidRPr="009E2F08">
        <w:rPr>
          <w:rFonts w:ascii="FrankRuehl" w:hAnsi="FrankRuehl" w:hint="cs"/>
          <w:sz w:val="28"/>
          <w:rtl/>
        </w:rPr>
        <w:t xml:space="preserve"> </w:t>
      </w:r>
      <w:r>
        <w:rPr>
          <w:rFonts w:ascii="FrankRuehl" w:hAnsi="FrankRuehl" w:hint="cs"/>
          <w:sz w:val="28"/>
          <w:rtl/>
        </w:rPr>
        <w:t>27.7.2023</w:t>
      </w:r>
      <w:r w:rsidRPr="009E2F08">
        <w:rPr>
          <w:rFonts w:ascii="FrankRuehl" w:hAnsi="FrankRuehl" w:hint="cs"/>
          <w:sz w:val="28"/>
          <w:rtl/>
        </w:rPr>
        <w:t xml:space="preserve">). </w:t>
      </w:r>
    </w:p>
    <w:p w:rsidR="0046011D" w:rsidRDefault="0046011D" w:rsidP="0046011D">
      <w:pPr>
        <w:pStyle w:val="Ruller4"/>
        <w:numPr>
          <w:ilvl w:val="0"/>
          <w:numId w:val="0"/>
        </w:numPr>
        <w:rPr>
          <w:rFonts w:ascii="FrankRuehl" w:hAnsi="FrankRuehl"/>
          <w:sz w:val="28"/>
          <w:rtl/>
        </w:rPr>
      </w:pPr>
    </w:p>
    <w:p w:rsidR="0046011D" w:rsidRPr="002A5B75" w:rsidRDefault="0046011D" w:rsidP="0046011D">
      <w:pPr>
        <w:pStyle w:val="Ruller4"/>
        <w:numPr>
          <w:ilvl w:val="0"/>
          <w:numId w:val="0"/>
        </w:numPr>
        <w:rPr>
          <w:rtl/>
        </w:rPr>
      </w:pPr>
      <w:r>
        <w:rPr>
          <w:rFonts w:ascii="FrankRuehl" w:hAnsi="FrankRuehl"/>
          <w:sz w:val="28"/>
          <w:rtl/>
        </w:rPr>
        <w:tab/>
      </w:r>
      <w:r>
        <w:rPr>
          <w:rFonts w:ascii="FrankRuehl" w:hAnsi="FrankRuehl" w:hint="cs"/>
          <w:sz w:val="28"/>
          <w:rtl/>
        </w:rPr>
        <w:t xml:space="preserve">למען שלמות התמונה </w:t>
      </w:r>
      <w:r>
        <w:rPr>
          <w:rFonts w:hint="cs"/>
          <w:rtl/>
        </w:rPr>
        <w:t>יוער כי תחילה, וכפי שיפורט להלן, המדינה לא אפשרה גם לבני זוג הטרוסקסואלים שהם ידועים בציבור לאמץ, וזאת מאחר שהיא פירשה את תנאי הכשירות שקבוע בסעיף 3 ככולל רק זוגות הטרוסקסואלים נשואים.</w:t>
      </w:r>
    </w:p>
    <w:p w:rsidR="0046011D" w:rsidRPr="00733027" w:rsidRDefault="0046011D" w:rsidP="0046011D">
      <w:pPr>
        <w:pStyle w:val="Ruller4"/>
        <w:numPr>
          <w:ilvl w:val="0"/>
          <w:numId w:val="0"/>
        </w:numPr>
        <w:rPr>
          <w:rtl/>
        </w:rPr>
      </w:pPr>
      <w:r>
        <w:rPr>
          <w:rFonts w:hint="cs"/>
          <w:rtl/>
        </w:rPr>
        <w:t xml:space="preserve">  </w:t>
      </w:r>
    </w:p>
    <w:p w:rsidR="0046011D" w:rsidRDefault="0046011D" w:rsidP="0046011D">
      <w:pPr>
        <w:pStyle w:val="Ruller4"/>
        <w:rPr>
          <w:rtl/>
        </w:rPr>
      </w:pPr>
      <w:r>
        <w:rPr>
          <w:rFonts w:hint="cs"/>
          <w:rtl/>
        </w:rPr>
        <w:t xml:space="preserve">בשנת 2016 הגישו המרכז הרפורמי לדת ומדינה (הוא העותר 5 בעתירה דנן) ועמותת אבות גאים (היא העותרת 6 בעתירה דנן) עתירה לבית משפט זה שכוונה לפרשנות התיבה "איש ואשתו יחד". בעתירה נטען כי פרשנות המדינה שלפיה זוגות הטרוסקסואליים ידועים בציבור וכן זוגות מאותו המין לא כלולים בתיבה זו פוגעת בשוויון, בשל העדיפות הלא מוצדקת שניתנת לזוגות הטרוסקסואליים נשואים. בתגובה לעתירה, טענה המדינה כי אין מקום לדון בפרשנות סעיף 3 רישא באותה העת, מאחר שהסדר האימוץ בכללותו נדון על ידי </w:t>
      </w:r>
      <w:r w:rsidRPr="00D94873">
        <w:rPr>
          <w:rFonts w:hint="eastAsia"/>
          <w:rtl/>
        </w:rPr>
        <w:t>הוועדה</w:t>
      </w:r>
      <w:r w:rsidRPr="00D94873">
        <w:rPr>
          <w:rtl/>
        </w:rPr>
        <w:t xml:space="preserve"> </w:t>
      </w:r>
      <w:r w:rsidRPr="00D94873">
        <w:rPr>
          <w:rFonts w:hint="eastAsia"/>
          <w:rtl/>
        </w:rPr>
        <w:t>לבחינת</w:t>
      </w:r>
      <w:r w:rsidRPr="00D94873">
        <w:rPr>
          <w:rtl/>
        </w:rPr>
        <w:t xml:space="preserve"> </w:t>
      </w:r>
      <w:r w:rsidRPr="00D94873">
        <w:rPr>
          <w:rFonts w:hint="eastAsia"/>
          <w:rtl/>
        </w:rPr>
        <w:t>חוק</w:t>
      </w:r>
      <w:r w:rsidRPr="00D94873">
        <w:rPr>
          <w:rtl/>
        </w:rPr>
        <w:t xml:space="preserve"> </w:t>
      </w:r>
      <w:r w:rsidRPr="00D94873">
        <w:rPr>
          <w:rFonts w:hint="eastAsia"/>
          <w:rtl/>
        </w:rPr>
        <w:t>אימוץ</w:t>
      </w:r>
      <w:r w:rsidRPr="00D94873">
        <w:rPr>
          <w:rtl/>
        </w:rPr>
        <w:t xml:space="preserve"> </w:t>
      </w:r>
      <w:r w:rsidRPr="00D94873">
        <w:rPr>
          <w:rFonts w:hint="eastAsia"/>
          <w:rtl/>
        </w:rPr>
        <w:t>ילדים</w:t>
      </w:r>
      <w:r w:rsidRPr="00D94873">
        <w:rPr>
          <w:rtl/>
        </w:rPr>
        <w:t xml:space="preserve">, </w:t>
      </w:r>
      <w:r w:rsidRPr="00D94873">
        <w:rPr>
          <w:rFonts w:hint="eastAsia"/>
          <w:rtl/>
        </w:rPr>
        <w:t>התשמ</w:t>
      </w:r>
      <w:r w:rsidRPr="00D94873">
        <w:rPr>
          <w:rtl/>
        </w:rPr>
        <w:t>"</w:t>
      </w:r>
      <w:r w:rsidRPr="00D94873">
        <w:rPr>
          <w:rFonts w:hint="eastAsia"/>
          <w:rtl/>
        </w:rPr>
        <w:t>א</w:t>
      </w:r>
      <w:r w:rsidRPr="00D94873">
        <w:rPr>
          <w:rtl/>
        </w:rPr>
        <w:t xml:space="preserve">-1981 </w:t>
      </w:r>
      <w:r w:rsidRPr="00D94873">
        <w:rPr>
          <w:rFonts w:hint="eastAsia"/>
          <w:rtl/>
        </w:rPr>
        <w:t>והליכי</w:t>
      </w:r>
      <w:r w:rsidRPr="00D94873">
        <w:rPr>
          <w:rtl/>
        </w:rPr>
        <w:t xml:space="preserve"> </w:t>
      </w:r>
      <w:r w:rsidRPr="00D94873">
        <w:rPr>
          <w:rFonts w:hint="eastAsia"/>
          <w:rtl/>
        </w:rPr>
        <w:t>אימוץ</w:t>
      </w:r>
      <w:r w:rsidRPr="00D94873">
        <w:rPr>
          <w:rtl/>
        </w:rPr>
        <w:t xml:space="preserve"> </w:t>
      </w:r>
      <w:r w:rsidRPr="00D94873">
        <w:rPr>
          <w:rFonts w:hint="eastAsia"/>
          <w:rtl/>
        </w:rPr>
        <w:t>ילדים</w:t>
      </w:r>
      <w:r w:rsidRPr="00D94873">
        <w:rPr>
          <w:rtl/>
        </w:rPr>
        <w:t xml:space="preserve"> </w:t>
      </w:r>
      <w:r w:rsidRPr="00D94873">
        <w:rPr>
          <w:rFonts w:hint="eastAsia"/>
          <w:rtl/>
        </w:rPr>
        <w:t>בישראל</w:t>
      </w:r>
      <w:r w:rsidRPr="00D94873">
        <w:rPr>
          <w:rtl/>
        </w:rPr>
        <w:t xml:space="preserve"> (</w:t>
      </w:r>
      <w:r w:rsidRPr="00D94873">
        <w:rPr>
          <w:rFonts w:hint="eastAsia"/>
          <w:rtl/>
        </w:rPr>
        <w:t>להלן</w:t>
      </w:r>
      <w:r w:rsidRPr="00D94873">
        <w:rPr>
          <w:rtl/>
        </w:rPr>
        <w:t xml:space="preserve">: </w:t>
      </w:r>
      <w:r w:rsidRPr="00756DA4">
        <w:rPr>
          <w:rFonts w:ascii="Century" w:hAnsi="Century" w:cs="Miriam" w:hint="eastAsia"/>
          <w:b/>
          <w:spacing w:val="0"/>
          <w:sz w:val="22"/>
          <w:szCs w:val="24"/>
          <w:rtl/>
        </w:rPr>
        <w:t>ועדת</w:t>
      </w:r>
      <w:r w:rsidRPr="00756DA4">
        <w:rPr>
          <w:rFonts w:ascii="Century" w:hAnsi="Century" w:cs="Miriam"/>
          <w:b/>
          <w:spacing w:val="0"/>
          <w:sz w:val="22"/>
          <w:szCs w:val="24"/>
          <w:rtl/>
        </w:rPr>
        <w:t xml:space="preserve"> </w:t>
      </w:r>
      <w:r w:rsidRPr="00756DA4">
        <w:rPr>
          <w:rFonts w:ascii="Century" w:hAnsi="Century" w:cs="Miriam" w:hint="eastAsia"/>
          <w:b/>
          <w:spacing w:val="0"/>
          <w:sz w:val="22"/>
          <w:szCs w:val="24"/>
          <w:rtl/>
        </w:rPr>
        <w:t>גרוס</w:t>
      </w:r>
      <w:r w:rsidRPr="00756DA4">
        <w:rPr>
          <w:rtl/>
        </w:rPr>
        <w:t xml:space="preserve"> </w:t>
      </w:r>
      <w:r w:rsidRPr="00D94873">
        <w:rPr>
          <w:rFonts w:hint="eastAsia"/>
          <w:rtl/>
        </w:rPr>
        <w:t>או</w:t>
      </w:r>
      <w:r w:rsidRPr="00D94873">
        <w:rPr>
          <w:rtl/>
        </w:rPr>
        <w:t xml:space="preserve"> </w:t>
      </w:r>
      <w:r w:rsidRPr="00756DA4">
        <w:rPr>
          <w:rFonts w:ascii="Century" w:hAnsi="Century" w:cs="Miriam" w:hint="eastAsia"/>
          <w:b/>
          <w:spacing w:val="0"/>
          <w:sz w:val="22"/>
          <w:szCs w:val="24"/>
          <w:rtl/>
        </w:rPr>
        <w:t>הוועדה</w:t>
      </w:r>
      <w:r w:rsidRPr="00D94873">
        <w:rPr>
          <w:rtl/>
        </w:rPr>
        <w:t>),</w:t>
      </w:r>
      <w:r>
        <w:rPr>
          <w:rFonts w:hint="cs"/>
          <w:rtl/>
        </w:rPr>
        <w:t xml:space="preserve"> שטרם סיימה את מלאכתה. </w:t>
      </w:r>
      <w:r>
        <w:rPr>
          <w:rFonts w:hint="cs"/>
          <w:rtl/>
        </w:rPr>
        <w:lastRenderedPageBreak/>
        <w:t>ביום 22.9.2016 הורה בית המשפט על עיכוב בירור</w:t>
      </w:r>
      <w:r w:rsidRPr="00756DA4">
        <w:rPr>
          <w:rtl/>
        </w:rPr>
        <w:t xml:space="preserve"> </w:t>
      </w:r>
      <w:r>
        <w:rPr>
          <w:rFonts w:hint="cs"/>
          <w:rtl/>
        </w:rPr>
        <w:t>ה</w:t>
      </w:r>
      <w:r w:rsidRPr="00756DA4">
        <w:rPr>
          <w:rFonts w:hint="eastAsia"/>
          <w:rtl/>
        </w:rPr>
        <w:t>עתירה</w:t>
      </w:r>
      <w:r w:rsidRPr="00756DA4">
        <w:rPr>
          <w:rtl/>
        </w:rPr>
        <w:t xml:space="preserve"> </w:t>
      </w:r>
      <w:r w:rsidRPr="00756DA4">
        <w:rPr>
          <w:rFonts w:hint="eastAsia"/>
          <w:rtl/>
        </w:rPr>
        <w:t>על</w:t>
      </w:r>
      <w:r w:rsidRPr="00756DA4">
        <w:rPr>
          <w:rtl/>
        </w:rPr>
        <w:t xml:space="preserve"> </w:t>
      </w:r>
      <w:r w:rsidRPr="00756DA4">
        <w:rPr>
          <w:rFonts w:hint="eastAsia"/>
          <w:rtl/>
        </w:rPr>
        <w:t>מנת</w:t>
      </w:r>
      <w:r w:rsidRPr="00756DA4">
        <w:rPr>
          <w:rtl/>
        </w:rPr>
        <w:t xml:space="preserve"> </w:t>
      </w:r>
      <w:r>
        <w:rPr>
          <w:rFonts w:hint="cs"/>
          <w:rtl/>
        </w:rPr>
        <w:t xml:space="preserve">לאפשר להגיש את </w:t>
      </w:r>
      <w:r w:rsidRPr="00756DA4">
        <w:rPr>
          <w:rFonts w:hint="eastAsia"/>
          <w:rtl/>
        </w:rPr>
        <w:t>דו</w:t>
      </w:r>
      <w:r>
        <w:rPr>
          <w:rFonts w:hint="cs"/>
          <w:rtl/>
        </w:rPr>
        <w:t>"</w:t>
      </w:r>
      <w:r w:rsidRPr="00756DA4">
        <w:rPr>
          <w:rFonts w:hint="eastAsia"/>
          <w:rtl/>
        </w:rPr>
        <w:t>ח</w:t>
      </w:r>
      <w:r>
        <w:rPr>
          <w:rFonts w:hint="cs"/>
          <w:rtl/>
        </w:rPr>
        <w:t xml:space="preserve"> הוועדה</w:t>
      </w:r>
      <w:r w:rsidRPr="00756DA4">
        <w:rPr>
          <w:rtl/>
        </w:rPr>
        <w:t xml:space="preserve"> </w:t>
      </w:r>
      <w:r w:rsidRPr="00756DA4">
        <w:rPr>
          <w:rFonts w:hint="eastAsia"/>
          <w:rtl/>
        </w:rPr>
        <w:t>במסגרת</w:t>
      </w:r>
      <w:r w:rsidRPr="00756DA4">
        <w:rPr>
          <w:rtl/>
        </w:rPr>
        <w:t xml:space="preserve"> </w:t>
      </w:r>
      <w:r w:rsidRPr="00756DA4">
        <w:rPr>
          <w:rFonts w:hint="eastAsia"/>
          <w:rtl/>
        </w:rPr>
        <w:t>ה</w:t>
      </w:r>
      <w:r>
        <w:rPr>
          <w:rFonts w:hint="cs"/>
          <w:rtl/>
        </w:rPr>
        <w:t xml:space="preserve">הליך. </w:t>
      </w:r>
    </w:p>
    <w:p w:rsidR="0046011D" w:rsidRPr="00733027" w:rsidRDefault="0046011D" w:rsidP="0046011D">
      <w:pPr>
        <w:pStyle w:val="Ruller41"/>
        <w:rPr>
          <w:rtl/>
        </w:rPr>
      </w:pPr>
    </w:p>
    <w:p w:rsidR="0046011D" w:rsidRDefault="0046011D" w:rsidP="0046011D">
      <w:pPr>
        <w:pStyle w:val="Ruller4"/>
      </w:pPr>
      <w:r>
        <w:rPr>
          <w:rFonts w:hint="cs"/>
          <w:rtl/>
        </w:rPr>
        <w:t>בספטמבר 2016 הוגשו המלצות הוועדה לשרת המשפטים דאז ולשר הרווחה דאז (</w:t>
      </w:r>
      <w:r w:rsidRPr="00EE0F7A">
        <w:rPr>
          <w:rFonts w:hint="cs"/>
          <w:rtl/>
        </w:rPr>
        <w:t xml:space="preserve">הוועדה לבחינת חוק אימוץ ילדים התשמ"א-1981 והליכי אימוץ ילדים בישראל </w:t>
      </w:r>
      <w:r w:rsidRPr="00EE0F7A">
        <w:rPr>
          <w:rFonts w:ascii="Century" w:hAnsi="Century" w:cs="Miriam" w:hint="cs"/>
          <w:b/>
          <w:spacing w:val="0"/>
          <w:sz w:val="22"/>
          <w:szCs w:val="24"/>
          <w:rtl/>
        </w:rPr>
        <w:t>דו"ח הוועדה</w:t>
      </w:r>
      <w:r w:rsidRPr="00EE0F7A">
        <w:rPr>
          <w:rFonts w:hint="cs"/>
          <w:rtl/>
        </w:rPr>
        <w:t xml:space="preserve"> (2016)</w:t>
      </w:r>
      <w:r>
        <w:rPr>
          <w:rFonts w:hint="cs"/>
          <w:rtl/>
        </w:rPr>
        <w:t xml:space="preserve">; </w:t>
      </w:r>
      <w:r w:rsidRPr="00EE0F7A">
        <w:rPr>
          <w:rFonts w:hint="cs"/>
          <w:rtl/>
        </w:rPr>
        <w:t xml:space="preserve">להלן: </w:t>
      </w:r>
      <w:r w:rsidRPr="00EE0F7A">
        <w:rPr>
          <w:rFonts w:ascii="Century" w:hAnsi="Century" w:cs="Miriam" w:hint="cs"/>
          <w:b/>
          <w:spacing w:val="0"/>
          <w:sz w:val="22"/>
          <w:szCs w:val="24"/>
          <w:rtl/>
        </w:rPr>
        <w:t>דו"ח ועדת גרוס</w:t>
      </w:r>
      <w:r w:rsidRPr="00EE0F7A">
        <w:rPr>
          <w:rFonts w:hint="cs"/>
          <w:rtl/>
        </w:rPr>
        <w:t>)</w:t>
      </w:r>
      <w:r>
        <w:rPr>
          <w:rFonts w:hint="cs"/>
          <w:rtl/>
        </w:rPr>
        <w:t xml:space="preserve">. במסגרת הדו"ח, נדונה השאלה האם יש מקום לשנות את תנאי הכשירות הקבועים בחוק האימוץ ולכלול בו גם בני זוג מאותו המין ובני זוג הטרוסקסואלים ידועים בציבור. אשר לזוגות מאותו המין, הוועדה סקרה את דבריו של פרופ' צבי טריגר, לפיהם אין תימוכין מחקריים או עובדתיים לכך שטובת הילד להימסר לבני זוג הטרוסקסואלים. חברי הוועדה נחלקו באשר לשאלה האם מבחינה עובדתית משפחה שמורכבת מבני זוג מאותו המין נתפסת בחברה הישראלית כמשפחה חריגה וכן בשאלה האם ראוי </w:t>
      </w:r>
      <w:proofErr w:type="spellStart"/>
      <w:r>
        <w:rPr>
          <w:rFonts w:hint="cs"/>
          <w:rtl/>
        </w:rPr>
        <w:t>ליתן</w:t>
      </w:r>
      <w:proofErr w:type="spellEnd"/>
      <w:r>
        <w:rPr>
          <w:rFonts w:hint="cs"/>
          <w:rtl/>
        </w:rPr>
        <w:t xml:space="preserve"> משקל לשיקול זה בשאלת כשירותם של בני זוג מאותו המין. אשר לבני זוג ידועים בציבור סברו רוב חברי הוועדה כי מדובר במוסד משפטי וחברתי שנקלט לחברה הישראלית שאין בו כיום חריגות כלשהי, ולפיכך יש לאפשר לזוגות ידועים בציבור לאמץ כבני זוג כשירים, וזאת שלא באמצעות החריג בחוק. </w:t>
      </w:r>
    </w:p>
    <w:p w:rsidR="0046011D" w:rsidRDefault="0046011D" w:rsidP="0046011D">
      <w:pPr>
        <w:pStyle w:val="Ruller4"/>
        <w:numPr>
          <w:ilvl w:val="0"/>
          <w:numId w:val="0"/>
        </w:numPr>
      </w:pPr>
    </w:p>
    <w:p w:rsidR="0046011D" w:rsidRDefault="0046011D" w:rsidP="0046011D">
      <w:pPr>
        <w:pStyle w:val="Ruller4"/>
      </w:pPr>
      <w:r>
        <w:rPr>
          <w:rFonts w:hint="cs"/>
          <w:rtl/>
        </w:rPr>
        <w:t xml:space="preserve">בהודעת עדכון שהוגשה מטעם המדינה מחודש יולי 2017, צוין כי שרי המשפטים והרווחה החליטו לקבל את המלצת רוב חברי הוועדה שלפיה אין מקום להבחין בין זוגות הטרוסקסואליים ידועים בציבור לבין זוגות הטרוסקסואלים נשואים בעניין כשירותם לאמץ. צוין כי לעמדת המדינה ניתן לפרש את סעיף 3 רישא ככולל גם זוגות ידועים ציבור כאמור ובהקשר זה לא נדרש לתקן את חוק האימוץ. בצד האמור, ביחס לזוגות מאותו המין, צוין כי עמדת המדינה היא שאין מקום לשנות את המדיניות הקיימת שנותנת עדיפות לזוגות הטרוסקסואליים. בתגובה הובאה עמדת גורמי המקצוע בשירות למען הילד באותה העת, שלפיה מאחר שהילד שנמסר לאימוץ נושא תחושה של חריגות, רצוי להימנע מהעמסת "מטען" נוסף, בדמות השמתו בתא משפחתי שטרם זכה ללגיטימציה חברתית בחברה הישראלית. </w:t>
      </w:r>
    </w:p>
    <w:p w:rsidR="0046011D" w:rsidRDefault="0046011D" w:rsidP="0046011D">
      <w:pPr>
        <w:pStyle w:val="Ruller41"/>
        <w:rPr>
          <w:rtl/>
        </w:rPr>
      </w:pPr>
    </w:p>
    <w:p w:rsidR="0046011D" w:rsidRDefault="0046011D" w:rsidP="0046011D">
      <w:pPr>
        <w:pStyle w:val="Ruller4"/>
      </w:pPr>
      <w:r>
        <w:rPr>
          <w:rFonts w:hint="cs"/>
          <w:rtl/>
        </w:rPr>
        <w:t xml:space="preserve">עמדת המדינה שלפיה אין מקום לשנות את המדיניות הנוהגת בעניין כשירותם של בני זוג מאותו המין לאמץ עוררה מחאה ציבורית נרחבת. במסגרת זאת, ביום  18.7.2017 פנה יו"ר הסתדרות הפסיכולוגים בישראל לשר הרווחה במכתב שבו ציין כי עמדת המדינה סותרת את הממצאים המחקריים בנושא, שלפיהם גידול ילדים במשפחות של זוגות מאותו המין לא משפיע באופן שלילי על בריאותם הנפשית ואף אינו פוגע בהתפתחותם הפסיכולוגית והרגשית. באותו היום הודיעה המדינה לבית המשפט כי שר </w:t>
      </w:r>
      <w:r>
        <w:rPr>
          <w:rFonts w:hint="cs"/>
          <w:rtl/>
        </w:rPr>
        <w:lastRenderedPageBreak/>
        <w:t xml:space="preserve">הרווחה הנחה לבחון מחדש את העמדה האמורה. ביום 7.9.2017 הגישה המדינה הודעה מעדכנת לבית המשפט, במסגרתה הודיעה כי עמדתה העדכנית היא שיש לתקן את חוק האימוץ כך שיבוטל תנאי הסף הדורש כי אימוץ ייערך על ידי "איש ואשתו יחד", וחלף זאת לקבוע תנאי שמכוון להיותו של הקשר הזוגי יציב וממושך. עוד צוין כי בכוונת המדינה לקדם הצעת חקיקה ברוח עמדה זו. </w:t>
      </w:r>
    </w:p>
    <w:p w:rsidR="0046011D" w:rsidRDefault="0046011D" w:rsidP="0046011D">
      <w:pPr>
        <w:pStyle w:val="Ruller4"/>
        <w:numPr>
          <w:ilvl w:val="0"/>
          <w:numId w:val="0"/>
        </w:numPr>
        <w:rPr>
          <w:rtl/>
        </w:rPr>
      </w:pPr>
    </w:p>
    <w:p w:rsidR="0046011D" w:rsidRDefault="0046011D" w:rsidP="0046011D">
      <w:pPr>
        <w:pStyle w:val="Ruller4"/>
        <w:numPr>
          <w:ilvl w:val="0"/>
          <w:numId w:val="0"/>
        </w:numPr>
        <w:rPr>
          <w:rtl/>
        </w:rPr>
      </w:pPr>
      <w:r>
        <w:rPr>
          <w:rtl/>
        </w:rPr>
        <w:tab/>
      </w:r>
      <w:r>
        <w:rPr>
          <w:rFonts w:hint="cs"/>
          <w:rtl/>
        </w:rPr>
        <w:t>נוכח האמור בהודעה, ולאחר שהובהר כי תזכיר החוק צפוי להתפרסם עד מחצית שנת 2018, נמחקה העתירה ביום 17.9.2017.</w:t>
      </w:r>
    </w:p>
    <w:p w:rsidR="0046011D" w:rsidRPr="00072F84" w:rsidRDefault="0046011D" w:rsidP="0046011D">
      <w:pPr>
        <w:pStyle w:val="Ruller41"/>
        <w:rPr>
          <w:rtl/>
        </w:rPr>
      </w:pPr>
    </w:p>
    <w:p w:rsidR="0046011D" w:rsidRPr="00413571" w:rsidRDefault="0046011D" w:rsidP="0046011D">
      <w:pPr>
        <w:pStyle w:val="Ruller4"/>
        <w:rPr>
          <w:rtl/>
        </w:rPr>
      </w:pPr>
      <w:r w:rsidRPr="00413571">
        <w:rPr>
          <w:rFonts w:hint="cs"/>
          <w:rtl/>
        </w:rPr>
        <w:t xml:space="preserve">ביום 8.8.2019, בחלוף קרוב לשנתיים </w:t>
      </w:r>
      <w:r>
        <w:rPr>
          <w:rFonts w:hint="cs"/>
          <w:rtl/>
        </w:rPr>
        <w:t>ממועד</w:t>
      </w:r>
      <w:r w:rsidRPr="00413571">
        <w:rPr>
          <w:rFonts w:hint="cs"/>
          <w:rtl/>
        </w:rPr>
        <w:t xml:space="preserve"> </w:t>
      </w:r>
      <w:r>
        <w:rPr>
          <w:rFonts w:hint="cs"/>
          <w:rtl/>
        </w:rPr>
        <w:t>מתן</w:t>
      </w:r>
      <w:r w:rsidRPr="00413571">
        <w:rPr>
          <w:rFonts w:hint="cs"/>
          <w:rtl/>
        </w:rPr>
        <w:t xml:space="preserve"> פסק הדין, פורסם להערות הציבור תזכיר חוק אימוץ ילדים (כשירות לאמץ והתאמת מאמצים לילד), התשע"ט-2019 (להלן: </w:t>
      </w:r>
      <w:r w:rsidRPr="00413571">
        <w:rPr>
          <w:rFonts w:ascii="Century" w:hAnsi="Century" w:cs="Miriam" w:hint="cs"/>
          <w:b/>
          <w:spacing w:val="0"/>
          <w:sz w:val="22"/>
          <w:szCs w:val="24"/>
          <w:rtl/>
        </w:rPr>
        <w:t>תזכיר החוק</w:t>
      </w:r>
      <w:r w:rsidRPr="00413571">
        <w:rPr>
          <w:rFonts w:hint="cs"/>
          <w:rtl/>
        </w:rPr>
        <w:t xml:space="preserve"> או </w:t>
      </w:r>
      <w:r w:rsidRPr="00413571">
        <w:rPr>
          <w:rFonts w:ascii="Century" w:hAnsi="Century" w:cs="Miriam" w:hint="cs"/>
          <w:b/>
          <w:spacing w:val="0"/>
          <w:sz w:val="22"/>
          <w:szCs w:val="24"/>
          <w:rtl/>
        </w:rPr>
        <w:t>התזכיר</w:t>
      </w:r>
      <w:r w:rsidRPr="00413571">
        <w:rPr>
          <w:rFonts w:hint="cs"/>
          <w:rtl/>
        </w:rPr>
        <w:t xml:space="preserve">). במסגרת תזכיר החוק הוצע </w:t>
      </w:r>
      <w:r w:rsidRPr="00413571">
        <w:rPr>
          <w:rFonts w:hint="eastAsia"/>
          <w:rtl/>
        </w:rPr>
        <w:t>לבטל</w:t>
      </w:r>
      <w:r w:rsidRPr="00413571">
        <w:rPr>
          <w:rtl/>
        </w:rPr>
        <w:t xml:space="preserve"> </w:t>
      </w:r>
      <w:r w:rsidRPr="00413571">
        <w:rPr>
          <w:rFonts w:hint="eastAsia"/>
          <w:rtl/>
        </w:rPr>
        <w:t>את</w:t>
      </w:r>
      <w:r w:rsidRPr="00413571">
        <w:rPr>
          <w:rtl/>
        </w:rPr>
        <w:t xml:space="preserve"> </w:t>
      </w:r>
      <w:r w:rsidRPr="00413571">
        <w:rPr>
          <w:rFonts w:hint="eastAsia"/>
          <w:rtl/>
        </w:rPr>
        <w:t>תנאי</w:t>
      </w:r>
      <w:r w:rsidRPr="00413571">
        <w:rPr>
          <w:rtl/>
        </w:rPr>
        <w:t xml:space="preserve"> </w:t>
      </w:r>
      <w:r w:rsidRPr="00413571">
        <w:rPr>
          <w:rFonts w:hint="eastAsia"/>
          <w:rtl/>
        </w:rPr>
        <w:t>הסף</w:t>
      </w:r>
      <w:r w:rsidRPr="00413571">
        <w:rPr>
          <w:rtl/>
        </w:rPr>
        <w:t xml:space="preserve"> </w:t>
      </w:r>
      <w:r w:rsidRPr="00413571">
        <w:rPr>
          <w:rFonts w:hint="cs"/>
          <w:rtl/>
        </w:rPr>
        <w:t>ש</w:t>
      </w:r>
      <w:r w:rsidRPr="00413571">
        <w:rPr>
          <w:rFonts w:hint="eastAsia"/>
          <w:rtl/>
        </w:rPr>
        <w:t>דורש</w:t>
      </w:r>
      <w:r w:rsidRPr="00413571">
        <w:rPr>
          <w:rtl/>
        </w:rPr>
        <w:t xml:space="preserve"> </w:t>
      </w:r>
      <w:r w:rsidRPr="00413571">
        <w:rPr>
          <w:rFonts w:hint="cs"/>
          <w:rtl/>
        </w:rPr>
        <w:t>כי אימוץ ייעשה על ידי</w:t>
      </w:r>
      <w:r w:rsidRPr="00413571">
        <w:rPr>
          <w:rtl/>
        </w:rPr>
        <w:t xml:space="preserve"> "</w:t>
      </w:r>
      <w:r w:rsidRPr="00413571">
        <w:rPr>
          <w:rFonts w:hint="eastAsia"/>
          <w:rtl/>
        </w:rPr>
        <w:t>איש</w:t>
      </w:r>
      <w:r w:rsidRPr="00413571">
        <w:rPr>
          <w:rtl/>
        </w:rPr>
        <w:t xml:space="preserve"> </w:t>
      </w:r>
      <w:r w:rsidRPr="00413571">
        <w:rPr>
          <w:rFonts w:hint="eastAsia"/>
          <w:rtl/>
        </w:rPr>
        <w:t>ואשתו</w:t>
      </w:r>
      <w:r w:rsidRPr="00413571">
        <w:rPr>
          <w:rtl/>
        </w:rPr>
        <w:t xml:space="preserve"> </w:t>
      </w:r>
      <w:r w:rsidRPr="00413571">
        <w:rPr>
          <w:rFonts w:hint="eastAsia"/>
          <w:rtl/>
        </w:rPr>
        <w:t>יחד</w:t>
      </w:r>
      <w:r w:rsidRPr="00413571">
        <w:rPr>
          <w:rtl/>
        </w:rPr>
        <w:t>"</w:t>
      </w:r>
      <w:r w:rsidRPr="00413571">
        <w:rPr>
          <w:rFonts w:hint="cs"/>
          <w:rtl/>
        </w:rPr>
        <w:t xml:space="preserve">, </w:t>
      </w:r>
      <w:r w:rsidRPr="00413571">
        <w:rPr>
          <w:rFonts w:hint="eastAsia"/>
          <w:rtl/>
        </w:rPr>
        <w:t>תוך</w:t>
      </w:r>
      <w:r w:rsidRPr="00413571">
        <w:rPr>
          <w:rtl/>
        </w:rPr>
        <w:t xml:space="preserve"> </w:t>
      </w:r>
      <w:r w:rsidRPr="00413571">
        <w:rPr>
          <w:rFonts w:hint="eastAsia"/>
          <w:rtl/>
        </w:rPr>
        <w:t>עמידה</w:t>
      </w:r>
      <w:r w:rsidRPr="00413571">
        <w:rPr>
          <w:rtl/>
        </w:rPr>
        <w:t xml:space="preserve"> </w:t>
      </w:r>
      <w:r w:rsidRPr="00413571">
        <w:rPr>
          <w:rFonts w:hint="eastAsia"/>
          <w:rtl/>
        </w:rPr>
        <w:t>על</w:t>
      </w:r>
      <w:r w:rsidRPr="00413571">
        <w:rPr>
          <w:rtl/>
        </w:rPr>
        <w:t xml:space="preserve"> </w:t>
      </w:r>
      <w:r w:rsidRPr="00413571">
        <w:rPr>
          <w:rFonts w:hint="eastAsia"/>
          <w:rtl/>
        </w:rPr>
        <w:t>כך</w:t>
      </w:r>
      <w:r w:rsidRPr="00413571">
        <w:rPr>
          <w:rtl/>
        </w:rPr>
        <w:t xml:space="preserve"> </w:t>
      </w:r>
      <w:r w:rsidRPr="00413571">
        <w:rPr>
          <w:rFonts w:hint="eastAsia"/>
          <w:rtl/>
        </w:rPr>
        <w:t>שככל</w:t>
      </w:r>
      <w:r w:rsidRPr="00413571">
        <w:rPr>
          <w:rtl/>
        </w:rPr>
        <w:t xml:space="preserve"> </w:t>
      </w:r>
      <w:r w:rsidRPr="00413571">
        <w:rPr>
          <w:rFonts w:hint="eastAsia"/>
          <w:rtl/>
        </w:rPr>
        <w:t>שמדובר</w:t>
      </w:r>
      <w:r w:rsidRPr="00413571">
        <w:rPr>
          <w:rtl/>
        </w:rPr>
        <w:t xml:space="preserve"> </w:t>
      </w:r>
      <w:r w:rsidRPr="00413571">
        <w:rPr>
          <w:rFonts w:hint="eastAsia"/>
          <w:rtl/>
        </w:rPr>
        <w:t>במבקשים</w:t>
      </w:r>
      <w:r w:rsidRPr="00413571">
        <w:rPr>
          <w:rtl/>
        </w:rPr>
        <w:t xml:space="preserve"> </w:t>
      </w:r>
      <w:r w:rsidRPr="00413571">
        <w:rPr>
          <w:rFonts w:hint="eastAsia"/>
          <w:rtl/>
        </w:rPr>
        <w:t>שהם</w:t>
      </w:r>
      <w:r w:rsidRPr="00413571">
        <w:rPr>
          <w:rtl/>
        </w:rPr>
        <w:t xml:space="preserve"> </w:t>
      </w:r>
      <w:r w:rsidRPr="00413571">
        <w:rPr>
          <w:rFonts w:hint="eastAsia"/>
          <w:rtl/>
        </w:rPr>
        <w:t>בני</w:t>
      </w:r>
      <w:r w:rsidRPr="00413571">
        <w:rPr>
          <w:rtl/>
        </w:rPr>
        <w:t xml:space="preserve"> </w:t>
      </w:r>
      <w:r w:rsidRPr="00413571">
        <w:rPr>
          <w:rFonts w:hint="eastAsia"/>
          <w:rtl/>
        </w:rPr>
        <w:t>זוג</w:t>
      </w:r>
      <w:r w:rsidRPr="00413571">
        <w:rPr>
          <w:rtl/>
        </w:rPr>
        <w:t xml:space="preserve">, </w:t>
      </w:r>
      <w:r w:rsidRPr="00413571">
        <w:rPr>
          <w:rFonts w:hint="eastAsia"/>
          <w:rtl/>
        </w:rPr>
        <w:t>נדרש</w:t>
      </w:r>
      <w:r w:rsidRPr="00413571">
        <w:rPr>
          <w:rtl/>
        </w:rPr>
        <w:t xml:space="preserve"> </w:t>
      </w:r>
      <w:r w:rsidRPr="00413571">
        <w:rPr>
          <w:rFonts w:hint="eastAsia"/>
          <w:rtl/>
        </w:rPr>
        <w:t>קשר</w:t>
      </w:r>
      <w:r w:rsidRPr="00413571">
        <w:rPr>
          <w:rtl/>
        </w:rPr>
        <w:t xml:space="preserve"> </w:t>
      </w:r>
      <w:r w:rsidRPr="00413571">
        <w:rPr>
          <w:rFonts w:hint="eastAsia"/>
          <w:rtl/>
        </w:rPr>
        <w:t>זוגי</w:t>
      </w:r>
      <w:r w:rsidRPr="00413571">
        <w:rPr>
          <w:rtl/>
        </w:rPr>
        <w:t xml:space="preserve"> </w:t>
      </w:r>
      <w:r w:rsidRPr="00413571">
        <w:rPr>
          <w:rFonts w:hint="eastAsia"/>
          <w:rtl/>
        </w:rPr>
        <w:t>יציב</w:t>
      </w:r>
      <w:r w:rsidRPr="00413571">
        <w:rPr>
          <w:rtl/>
        </w:rPr>
        <w:t xml:space="preserve"> </w:t>
      </w:r>
      <w:r w:rsidRPr="00413571">
        <w:rPr>
          <w:rFonts w:hint="eastAsia"/>
          <w:rtl/>
        </w:rPr>
        <w:t>וממושך</w:t>
      </w:r>
      <w:r w:rsidRPr="00413571">
        <w:rPr>
          <w:rtl/>
        </w:rPr>
        <w:t xml:space="preserve">, </w:t>
      </w:r>
      <w:r w:rsidRPr="00413571">
        <w:rPr>
          <w:rFonts w:hint="eastAsia"/>
          <w:rtl/>
        </w:rPr>
        <w:t>ללא</w:t>
      </w:r>
      <w:r w:rsidRPr="00413571">
        <w:rPr>
          <w:rtl/>
        </w:rPr>
        <w:t xml:space="preserve"> </w:t>
      </w:r>
      <w:r w:rsidRPr="00413571">
        <w:rPr>
          <w:rFonts w:hint="eastAsia"/>
          <w:rtl/>
        </w:rPr>
        <w:t>קשר</w:t>
      </w:r>
      <w:r w:rsidRPr="00413571">
        <w:rPr>
          <w:rtl/>
        </w:rPr>
        <w:t xml:space="preserve"> </w:t>
      </w:r>
      <w:r w:rsidRPr="00413571">
        <w:rPr>
          <w:rFonts w:hint="eastAsia"/>
          <w:rtl/>
        </w:rPr>
        <w:t>לסוג</w:t>
      </w:r>
      <w:r w:rsidRPr="00413571">
        <w:rPr>
          <w:rtl/>
        </w:rPr>
        <w:t xml:space="preserve"> </w:t>
      </w:r>
      <w:r w:rsidRPr="00413571">
        <w:rPr>
          <w:rFonts w:hint="eastAsia"/>
          <w:rtl/>
        </w:rPr>
        <w:t>הזוגיות</w:t>
      </w:r>
      <w:r w:rsidRPr="00413571">
        <w:rPr>
          <w:rtl/>
        </w:rPr>
        <w:t xml:space="preserve">. </w:t>
      </w:r>
      <w:r w:rsidRPr="00413571">
        <w:rPr>
          <w:rFonts w:hint="cs"/>
          <w:rtl/>
        </w:rPr>
        <w:t xml:space="preserve">עוד הוצע לבטל גם את החריגים שמעוגנים בסעיפים 3(1) ו-3(2) לחוק האימוץ, וחלף זאת לקבוע כלל </w:t>
      </w:r>
      <w:r>
        <w:rPr>
          <w:rFonts w:hint="cs"/>
          <w:rtl/>
        </w:rPr>
        <w:t>ש</w:t>
      </w:r>
      <w:r w:rsidRPr="00413571">
        <w:rPr>
          <w:rFonts w:hint="cs"/>
          <w:rtl/>
        </w:rPr>
        <w:t xml:space="preserve">משמר את העדיפות </w:t>
      </w:r>
      <w:r w:rsidRPr="00413571">
        <w:rPr>
          <w:rFonts w:hint="eastAsia"/>
          <w:rtl/>
        </w:rPr>
        <w:t>לאימוץ</w:t>
      </w:r>
      <w:r w:rsidRPr="00413571">
        <w:rPr>
          <w:rtl/>
        </w:rPr>
        <w:t xml:space="preserve"> </w:t>
      </w:r>
      <w:r w:rsidRPr="00413571">
        <w:rPr>
          <w:rFonts w:hint="cs"/>
          <w:rtl/>
        </w:rPr>
        <w:t>בידי</w:t>
      </w:r>
      <w:r w:rsidRPr="00413571">
        <w:rPr>
          <w:rtl/>
        </w:rPr>
        <w:t xml:space="preserve"> </w:t>
      </w:r>
      <w:r w:rsidRPr="00413571">
        <w:rPr>
          <w:rFonts w:hint="eastAsia"/>
          <w:rtl/>
        </w:rPr>
        <w:t>בני</w:t>
      </w:r>
      <w:r w:rsidRPr="00413571">
        <w:rPr>
          <w:rtl/>
        </w:rPr>
        <w:t xml:space="preserve"> </w:t>
      </w:r>
      <w:r w:rsidRPr="00413571">
        <w:rPr>
          <w:rFonts w:hint="eastAsia"/>
          <w:rtl/>
        </w:rPr>
        <w:t>זוג</w:t>
      </w:r>
      <w:r w:rsidRPr="00413571">
        <w:rPr>
          <w:rtl/>
        </w:rPr>
        <w:t xml:space="preserve"> </w:t>
      </w:r>
      <w:r w:rsidRPr="00413571">
        <w:rPr>
          <w:rFonts w:hint="eastAsia"/>
          <w:rtl/>
        </w:rPr>
        <w:t>על</w:t>
      </w:r>
      <w:r w:rsidRPr="00413571">
        <w:rPr>
          <w:rtl/>
        </w:rPr>
        <w:t xml:space="preserve"> </w:t>
      </w:r>
      <w:r w:rsidRPr="00413571">
        <w:rPr>
          <w:rFonts w:hint="eastAsia"/>
          <w:rtl/>
        </w:rPr>
        <w:t>פני</w:t>
      </w:r>
      <w:r w:rsidRPr="00413571">
        <w:rPr>
          <w:rtl/>
        </w:rPr>
        <w:t xml:space="preserve"> </w:t>
      </w:r>
      <w:r w:rsidRPr="00413571">
        <w:rPr>
          <w:rFonts w:hint="eastAsia"/>
          <w:rtl/>
        </w:rPr>
        <w:t>מאמץ</w:t>
      </w:r>
      <w:r w:rsidRPr="00413571">
        <w:rPr>
          <w:rtl/>
        </w:rPr>
        <w:t xml:space="preserve"> </w:t>
      </w:r>
      <w:r w:rsidRPr="00413571">
        <w:rPr>
          <w:rFonts w:hint="eastAsia"/>
          <w:rtl/>
        </w:rPr>
        <w:t>יחיד</w:t>
      </w:r>
      <w:r w:rsidRPr="00413571">
        <w:rPr>
          <w:rFonts w:hint="cs"/>
          <w:rtl/>
        </w:rPr>
        <w:t xml:space="preserve">. אף בחלוף כשנתיים לאחר פרסום תזכיר החוק, לא הונחה הצעת חוק בנושא על שולחן הכנסת. בנסיבות האמורות, בחודש יולי 2021 הגישו העותרים את העתירה שלפנינו. </w:t>
      </w:r>
    </w:p>
    <w:p w:rsidR="0046011D" w:rsidRDefault="0046011D" w:rsidP="0046011D">
      <w:pPr>
        <w:pStyle w:val="Ruller41"/>
        <w:rPr>
          <w:rtl/>
        </w:rPr>
      </w:pPr>
    </w:p>
    <w:p w:rsidR="0046011D" w:rsidRDefault="0046011D" w:rsidP="0046011D">
      <w:pPr>
        <w:pStyle w:val="Ruller4"/>
        <w:numPr>
          <w:ilvl w:val="0"/>
          <w:numId w:val="0"/>
        </w:numPr>
        <w:rPr>
          <w:rFonts w:ascii="Century" w:hAnsi="Century" w:cs="Miriam"/>
          <w:b/>
          <w:spacing w:val="0"/>
          <w:szCs w:val="24"/>
          <w:rtl/>
        </w:rPr>
      </w:pPr>
      <w:r w:rsidRPr="0027177D">
        <w:rPr>
          <w:rFonts w:ascii="Century" w:hAnsi="Century" w:cs="Miriam" w:hint="cs"/>
          <w:b/>
          <w:spacing w:val="0"/>
          <w:szCs w:val="24"/>
          <w:rtl/>
        </w:rPr>
        <w:t>העתירה והשתלשלות ההליכים עד כה</w:t>
      </w:r>
    </w:p>
    <w:p w:rsidR="0046011D" w:rsidRDefault="0046011D" w:rsidP="0046011D">
      <w:pPr>
        <w:pStyle w:val="Ruller4"/>
        <w:numPr>
          <w:ilvl w:val="0"/>
          <w:numId w:val="0"/>
        </w:numPr>
      </w:pPr>
    </w:p>
    <w:p w:rsidR="0046011D" w:rsidRDefault="0046011D" w:rsidP="0046011D">
      <w:pPr>
        <w:pStyle w:val="Ruller4"/>
        <w:rPr>
          <w:rtl/>
        </w:rPr>
      </w:pPr>
      <w:r>
        <w:rPr>
          <w:rFonts w:hint="cs"/>
          <w:rtl/>
        </w:rPr>
        <w:t xml:space="preserve"> העותרים 4-1 בעתירה דנן הם שני זוגות מאותו המין אשר מבקשים לאמץ ילד בישראל במשך תקופה ממושכת: העותרים 2-1 הם בני זוג ולהם ילדה אחת אותה אימצו מחוץ לישראל, והם הגישו בקשה לאימוץ ילד נוסף בישראל לפני כ-8 שנים; העותרים 4-3 הגישו בקשה לאימוץ ילד בישראל לפני כ-6 שנים. לעותרים אלו הצטרפו מספר עותרים ציבוריים: המרכז הרפורמי לדת ולמדינה; עמותת אבות גאים; האגודה למען הלהט"ב בישראל; והבית הפתוח בירושלים לגאווה ולסובלנות. לטענת העותרים, הפרשנות הנוהגת שאומצה על ידי המדינה, שלפיה התיבה "איש ואשתו יחד" כוללת אך זוגות הטרוסקסואליים, פוגעת בזכותם של בני זוג מאותו מין לשוויון ולהורות. כנטען,</w:t>
      </w:r>
      <w:r w:rsidRPr="0056480A">
        <w:rPr>
          <w:rtl/>
        </w:rPr>
        <w:t xml:space="preserve"> </w:t>
      </w:r>
      <w:r w:rsidRPr="0056480A">
        <w:rPr>
          <w:rFonts w:hint="eastAsia"/>
          <w:rtl/>
        </w:rPr>
        <w:t>בחירת</w:t>
      </w:r>
      <w:r w:rsidRPr="0056480A">
        <w:rPr>
          <w:rtl/>
        </w:rPr>
        <w:t xml:space="preserve"> </w:t>
      </w:r>
      <w:r w:rsidRPr="0056480A">
        <w:rPr>
          <w:rFonts w:hint="eastAsia"/>
          <w:rtl/>
        </w:rPr>
        <w:t>המחוקק</w:t>
      </w:r>
      <w:r w:rsidRPr="0056480A">
        <w:rPr>
          <w:rtl/>
        </w:rPr>
        <w:t xml:space="preserve"> </w:t>
      </w:r>
      <w:r w:rsidRPr="0056480A">
        <w:rPr>
          <w:rFonts w:hint="eastAsia"/>
          <w:rtl/>
        </w:rPr>
        <w:t>בלשון</w:t>
      </w:r>
      <w:r w:rsidRPr="0056480A">
        <w:rPr>
          <w:rtl/>
        </w:rPr>
        <w:t xml:space="preserve"> "</w:t>
      </w:r>
      <w:r w:rsidRPr="0056480A">
        <w:rPr>
          <w:rFonts w:hint="eastAsia"/>
          <w:rtl/>
        </w:rPr>
        <w:t>איש</w:t>
      </w:r>
      <w:r w:rsidRPr="0056480A">
        <w:rPr>
          <w:rtl/>
        </w:rPr>
        <w:t xml:space="preserve"> </w:t>
      </w:r>
      <w:r w:rsidRPr="0056480A">
        <w:rPr>
          <w:rFonts w:hint="eastAsia"/>
          <w:rtl/>
        </w:rPr>
        <w:t>ואשתו</w:t>
      </w:r>
      <w:r w:rsidRPr="0056480A">
        <w:rPr>
          <w:rtl/>
        </w:rPr>
        <w:t>"</w:t>
      </w:r>
      <w:r>
        <w:rPr>
          <w:rFonts w:hint="cs"/>
          <w:rtl/>
        </w:rPr>
        <w:t xml:space="preserve"> נועדה להדגיש כי ברירת המחדל היא אימוץ על ידי בני זוג יחד ולא על ידי מאמץ יחיד. לטענת העותרים, </w:t>
      </w:r>
      <w:r w:rsidRPr="0056480A">
        <w:rPr>
          <w:rFonts w:hint="eastAsia"/>
          <w:rtl/>
        </w:rPr>
        <w:t>על</w:t>
      </w:r>
      <w:r w:rsidRPr="0056480A">
        <w:rPr>
          <w:rtl/>
        </w:rPr>
        <w:t xml:space="preserve"> </w:t>
      </w:r>
      <w:r w:rsidRPr="0056480A">
        <w:rPr>
          <w:rFonts w:hint="eastAsia"/>
          <w:rtl/>
        </w:rPr>
        <w:t>בית</w:t>
      </w:r>
      <w:r w:rsidRPr="0056480A">
        <w:rPr>
          <w:rtl/>
        </w:rPr>
        <w:t xml:space="preserve"> </w:t>
      </w:r>
      <w:r w:rsidRPr="0056480A">
        <w:rPr>
          <w:rFonts w:hint="eastAsia"/>
          <w:rtl/>
        </w:rPr>
        <w:t>המשפט</w:t>
      </w:r>
      <w:r w:rsidRPr="0056480A">
        <w:rPr>
          <w:rtl/>
        </w:rPr>
        <w:t xml:space="preserve"> </w:t>
      </w:r>
      <w:proofErr w:type="spellStart"/>
      <w:r>
        <w:rPr>
          <w:rFonts w:hint="cs"/>
          <w:rtl/>
        </w:rPr>
        <w:t>ליתן</w:t>
      </w:r>
      <w:proofErr w:type="spellEnd"/>
      <w:r>
        <w:rPr>
          <w:rFonts w:hint="cs"/>
          <w:rtl/>
        </w:rPr>
        <w:t xml:space="preserve"> משמעות עדכנית ללשון</w:t>
      </w:r>
      <w:r w:rsidRPr="0056480A">
        <w:rPr>
          <w:rtl/>
        </w:rPr>
        <w:t xml:space="preserve"> </w:t>
      </w:r>
      <w:r w:rsidRPr="0056480A">
        <w:rPr>
          <w:rFonts w:hint="eastAsia"/>
          <w:rtl/>
        </w:rPr>
        <w:t>בהתאם</w:t>
      </w:r>
      <w:r w:rsidRPr="0056480A">
        <w:rPr>
          <w:rtl/>
        </w:rPr>
        <w:t xml:space="preserve"> </w:t>
      </w:r>
      <w:r w:rsidRPr="0056480A">
        <w:rPr>
          <w:rFonts w:hint="eastAsia"/>
          <w:rtl/>
        </w:rPr>
        <w:t>למציאות</w:t>
      </w:r>
      <w:r w:rsidRPr="0056480A">
        <w:rPr>
          <w:rtl/>
        </w:rPr>
        <w:t xml:space="preserve"> </w:t>
      </w:r>
      <w:r w:rsidRPr="0056480A">
        <w:rPr>
          <w:rFonts w:hint="eastAsia"/>
          <w:rtl/>
        </w:rPr>
        <w:t>המשתנה</w:t>
      </w:r>
      <w:r>
        <w:rPr>
          <w:rtl/>
        </w:rPr>
        <w:t>.</w:t>
      </w:r>
      <w:r>
        <w:rPr>
          <w:rFonts w:hint="cs"/>
          <w:rtl/>
        </w:rPr>
        <w:t xml:space="preserve"> עוד נטען כי פרשנות זו עולה בקנה אחד גם עם תכלית החוק, שהיא בראש ובראשונה קידום טובת הילד. העותרים מדגישים כי אין כל בסיס לטענה כי לנטייה מינית יש השפעה על טיבה של ההורות של המאמצים. עוד </w:t>
      </w:r>
      <w:r>
        <w:rPr>
          <w:rFonts w:hint="cs"/>
          <w:rtl/>
        </w:rPr>
        <w:lastRenderedPageBreak/>
        <w:t>צוין כי פרשנות המדינה אינה עולה בקנה אחד עם המדיניות שלפיה הילדים המאומצים על ידי זוגות מאותו המין הם בפועל ילדים שגידולם כרוך בקשיים מיוחדים. אשר לתכלית הסובייקטיבית, מודגש כי בעת חקיקת חוק האימוץ המחוקק כלל לא נדרש לשאלת אימוץ על ידי זוגות בני אותו המין.</w:t>
      </w:r>
    </w:p>
    <w:p w:rsidR="0046011D" w:rsidRDefault="0046011D" w:rsidP="0046011D">
      <w:pPr>
        <w:pStyle w:val="Ruller41"/>
        <w:rPr>
          <w:rtl/>
        </w:rPr>
      </w:pPr>
    </w:p>
    <w:p w:rsidR="0046011D" w:rsidRDefault="0046011D" w:rsidP="0046011D">
      <w:pPr>
        <w:pStyle w:val="Ruller4"/>
        <w:rPr>
          <w:rtl/>
        </w:rPr>
      </w:pPr>
      <w:r>
        <w:rPr>
          <w:rFonts w:hint="cs"/>
          <w:rtl/>
        </w:rPr>
        <w:t xml:space="preserve">בתגובה המקדמית מטעם המדינה, שהוגשה ביום 19.11.2021, צוין כי בפרק הזמן שחלף מאז הוגשה העתירה, ולאחר שהסוגיה הוצגה לשר המשפטים לאחר כניסתו לתפקיד (בשים לב לכך שהממשלה ה-36 שכיהנה באותה העת קמה ביום 13.6.2021), גורמי המקצוע הרלוונטיים במשרד המשפטים ובמשרד הרווחה פעלו לצורך ניסוח טיוטה עדכנית של הצעת החוק. צוין כי טיוטה זו הונחה על שולחנם של שר הרווחה ושר המשפטים. במסגרת התגובה ביקשה המדינה שהות של כ-4 חודשים כדי לאפשר לשרים ללמוד את הנושא ולגבש את עמדתם, תוך שצוין כי בתקופה זו ניתן יהיה לקדם את ההליך הפנים-ממשלתי בנוגע להצעת החוק. בהמשך לאמור, הגישה המדינה הודעה מעדכנת </w:t>
      </w:r>
      <w:r w:rsidRPr="006B0138">
        <w:rPr>
          <w:rFonts w:hint="eastAsia"/>
          <w:rtl/>
        </w:rPr>
        <w:t>ביום</w:t>
      </w:r>
      <w:r w:rsidRPr="006B0138">
        <w:rPr>
          <w:rtl/>
        </w:rPr>
        <w:t xml:space="preserve"> 17.3.2022 </w:t>
      </w:r>
      <w:r>
        <w:rPr>
          <w:rFonts w:hint="cs"/>
          <w:rtl/>
        </w:rPr>
        <w:t>שלפיה</w:t>
      </w:r>
      <w:r w:rsidRPr="006B0138">
        <w:rPr>
          <w:rtl/>
        </w:rPr>
        <w:t xml:space="preserve"> </w:t>
      </w:r>
      <w:r w:rsidRPr="006B0138">
        <w:rPr>
          <w:rFonts w:hint="eastAsia"/>
          <w:rtl/>
        </w:rPr>
        <w:t>השרים</w:t>
      </w:r>
      <w:r w:rsidRPr="006B0138">
        <w:rPr>
          <w:rtl/>
        </w:rPr>
        <w:t xml:space="preserve"> </w:t>
      </w:r>
      <w:r w:rsidRPr="006B0138">
        <w:rPr>
          <w:rFonts w:hint="eastAsia"/>
          <w:rtl/>
        </w:rPr>
        <w:t>תומכים</w:t>
      </w:r>
      <w:r w:rsidRPr="006B0138">
        <w:rPr>
          <w:rtl/>
        </w:rPr>
        <w:t xml:space="preserve"> </w:t>
      </w:r>
      <w:r w:rsidRPr="006B0138">
        <w:rPr>
          <w:rFonts w:hint="eastAsia"/>
          <w:rtl/>
        </w:rPr>
        <w:t>בהצעת</w:t>
      </w:r>
      <w:r w:rsidRPr="006B0138">
        <w:rPr>
          <w:rtl/>
        </w:rPr>
        <w:t xml:space="preserve"> </w:t>
      </w:r>
      <w:r w:rsidRPr="006B0138">
        <w:rPr>
          <w:rFonts w:hint="eastAsia"/>
          <w:rtl/>
        </w:rPr>
        <w:t>החוק</w:t>
      </w:r>
      <w:r>
        <w:rPr>
          <w:rFonts w:hint="cs"/>
          <w:rtl/>
        </w:rPr>
        <w:t>,</w:t>
      </w:r>
      <w:r w:rsidRPr="006B0138">
        <w:rPr>
          <w:rtl/>
        </w:rPr>
        <w:t xml:space="preserve"> </w:t>
      </w:r>
      <w:r w:rsidRPr="006B0138">
        <w:rPr>
          <w:rFonts w:hint="eastAsia"/>
          <w:rtl/>
        </w:rPr>
        <w:t>אך</w:t>
      </w:r>
      <w:r w:rsidRPr="006B0138">
        <w:rPr>
          <w:rtl/>
        </w:rPr>
        <w:t xml:space="preserve"> </w:t>
      </w:r>
      <w:r w:rsidRPr="006B0138">
        <w:rPr>
          <w:rFonts w:hint="eastAsia"/>
          <w:rtl/>
        </w:rPr>
        <w:t>להערכת</w:t>
      </w:r>
      <w:r w:rsidRPr="006B0138">
        <w:rPr>
          <w:rtl/>
        </w:rPr>
        <w:t xml:space="preserve"> </w:t>
      </w:r>
      <w:r w:rsidRPr="006B0138">
        <w:rPr>
          <w:rFonts w:hint="eastAsia"/>
          <w:rtl/>
        </w:rPr>
        <w:t>שר</w:t>
      </w:r>
      <w:r w:rsidRPr="006B0138">
        <w:rPr>
          <w:rtl/>
        </w:rPr>
        <w:t xml:space="preserve"> </w:t>
      </w:r>
      <w:r w:rsidRPr="006B0138">
        <w:rPr>
          <w:rFonts w:hint="eastAsia"/>
          <w:rtl/>
        </w:rPr>
        <w:t>המשפטים</w:t>
      </w:r>
      <w:r w:rsidRPr="006B0138">
        <w:rPr>
          <w:rtl/>
        </w:rPr>
        <w:t xml:space="preserve"> </w:t>
      </w:r>
      <w:r w:rsidRPr="006B0138">
        <w:rPr>
          <w:rFonts w:hint="eastAsia"/>
          <w:rtl/>
        </w:rPr>
        <w:t>אין</w:t>
      </w:r>
      <w:r w:rsidRPr="006B0138">
        <w:rPr>
          <w:rtl/>
        </w:rPr>
        <w:t xml:space="preserve"> </w:t>
      </w:r>
      <w:r w:rsidRPr="006B0138">
        <w:rPr>
          <w:rFonts w:hint="eastAsia"/>
          <w:rtl/>
        </w:rPr>
        <w:t>היתכנות</w:t>
      </w:r>
      <w:r w:rsidRPr="006B0138">
        <w:rPr>
          <w:rtl/>
        </w:rPr>
        <w:t xml:space="preserve"> </w:t>
      </w:r>
      <w:r w:rsidRPr="006B0138">
        <w:rPr>
          <w:rFonts w:hint="eastAsia"/>
          <w:rtl/>
        </w:rPr>
        <w:t>פוליטית</w:t>
      </w:r>
      <w:r w:rsidRPr="006B0138">
        <w:rPr>
          <w:rtl/>
        </w:rPr>
        <w:t xml:space="preserve"> </w:t>
      </w:r>
      <w:r w:rsidRPr="006B0138">
        <w:rPr>
          <w:rFonts w:hint="eastAsia"/>
          <w:rtl/>
        </w:rPr>
        <w:t>לקידומה</w:t>
      </w:r>
      <w:r w:rsidRPr="006B0138">
        <w:rPr>
          <w:rtl/>
        </w:rPr>
        <w:t xml:space="preserve"> </w:t>
      </w:r>
      <w:r w:rsidRPr="006B0138">
        <w:rPr>
          <w:rFonts w:hint="eastAsia"/>
          <w:rtl/>
        </w:rPr>
        <w:t>בעת</w:t>
      </w:r>
      <w:r w:rsidRPr="006B0138">
        <w:rPr>
          <w:rtl/>
        </w:rPr>
        <w:t xml:space="preserve"> </w:t>
      </w:r>
      <w:r w:rsidRPr="006B0138">
        <w:rPr>
          <w:rFonts w:hint="eastAsia"/>
          <w:rtl/>
        </w:rPr>
        <w:t>הזו</w:t>
      </w:r>
      <w:r>
        <w:rPr>
          <w:rFonts w:hint="cs"/>
          <w:rtl/>
        </w:rPr>
        <w:t>, ולפיכך המשיבים אינם מתנגדים כי העתירה תישמע לפני הרכב</w:t>
      </w:r>
      <w:r w:rsidRPr="006B0138">
        <w:rPr>
          <w:rtl/>
        </w:rPr>
        <w:t>.</w:t>
      </w:r>
    </w:p>
    <w:p w:rsidR="0046011D" w:rsidRDefault="0046011D" w:rsidP="0046011D">
      <w:pPr>
        <w:pStyle w:val="Ruller41"/>
        <w:rPr>
          <w:rtl/>
        </w:rPr>
      </w:pPr>
    </w:p>
    <w:p w:rsidR="0046011D" w:rsidRPr="00413571" w:rsidRDefault="0046011D" w:rsidP="0046011D">
      <w:pPr>
        <w:pStyle w:val="Ruller4"/>
        <w:rPr>
          <w:rtl/>
        </w:rPr>
      </w:pPr>
      <w:r>
        <w:rPr>
          <w:rFonts w:hint="cs"/>
          <w:rtl/>
        </w:rPr>
        <w:t xml:space="preserve">ביום 14.7.2022 ביקשו המשיבים כי הדיון בעתירה, שהיה קבוע באותה העת ליום 25.7.2022, יידחה נוכח פיזור הכנסת ה-24 ביום </w:t>
      </w:r>
      <w:r w:rsidRPr="00413571">
        <w:rPr>
          <w:rFonts w:hint="cs"/>
          <w:rtl/>
        </w:rPr>
        <w:t>30.6.2022.</w:t>
      </w:r>
      <w:r>
        <w:rPr>
          <w:rFonts w:hint="cs"/>
          <w:rtl/>
        </w:rPr>
        <w:t xml:space="preserve"> המדינה טענה כי יש לאפשר לכנסת ה-25 ולממשלה החדשה הזדמנות נאותה להידרש לסוגיה באמצעות קידום חקיקה בנושא, בטרם יידרש בית המשפט לשאלת פרשנות חוק האימוץ. בקשת המדינה לדחיית מועד הדיון התקבלה. ביום 30.3.2023 הגישו המשיבים בקשת ארכה נוספת שבה </w:t>
      </w:r>
      <w:r w:rsidRPr="00413571">
        <w:rPr>
          <w:rFonts w:hint="cs"/>
          <w:rtl/>
        </w:rPr>
        <w:t xml:space="preserve">נטען כי נדרש פרק זמן נוסף על מנת לאפשר לשר המשפטים החדש ללמוד את הנושא. ביום 3.4.2023 הוחלט לקבוע דיון בעתירה, זאת בהתחשב במספר הדחיות </w:t>
      </w:r>
      <w:r>
        <w:rPr>
          <w:rFonts w:hint="cs"/>
          <w:rtl/>
        </w:rPr>
        <w:t xml:space="preserve">שניתנו למדינה במסגרת ההליך </w:t>
      </w:r>
      <w:r w:rsidRPr="00413571">
        <w:rPr>
          <w:rFonts w:hint="cs"/>
          <w:rtl/>
        </w:rPr>
        <w:t xml:space="preserve">וכן בכך </w:t>
      </w:r>
      <w:r>
        <w:rPr>
          <w:rFonts w:hint="cs"/>
          <w:rtl/>
        </w:rPr>
        <w:t>שבבקשת הדחייה לא הובאה התייחסות</w:t>
      </w:r>
      <w:r w:rsidRPr="00413571">
        <w:rPr>
          <w:rFonts w:hint="cs"/>
          <w:rtl/>
        </w:rPr>
        <w:t xml:space="preserve"> להיתכנות הפוליטית לתיקון החוק. </w:t>
      </w:r>
    </w:p>
    <w:p w:rsidR="0046011D" w:rsidRPr="009E557B" w:rsidRDefault="0046011D" w:rsidP="0046011D">
      <w:pPr>
        <w:pStyle w:val="Ruller41"/>
        <w:rPr>
          <w:rtl/>
        </w:rPr>
      </w:pPr>
    </w:p>
    <w:p w:rsidR="0046011D" w:rsidRDefault="0046011D" w:rsidP="0046011D">
      <w:pPr>
        <w:pStyle w:val="Ruller4"/>
        <w:rPr>
          <w:rtl/>
        </w:rPr>
      </w:pPr>
      <w:r>
        <w:rPr>
          <w:rFonts w:hint="cs"/>
          <w:rtl/>
        </w:rPr>
        <w:t xml:space="preserve">ביום 27.7.2023, עובר לקיום הדיון בעתירה, התקבלה תגובה משלימה מטעם המשיבים. בפתח הדברים, צוין כי שר המשפטים סבור שבנסיבות הקיימות, אין היתכנות פוליטית לקידום חקיקה ממשלתית בנושא. עוד צוין כי עמדת היועצת המשפטית לממשלה היא כי על אף חלוף הזמן, דרך המלך להסדרת הסוגיה היא בתיקון חקיקה. לצד זאת, הודגש שעמדתה של היועצת היא שככל שיימצא כי בשלה העת להידרש לסוגיה הפרשנית, קיים עוגן משפטי אפשרי לפרשנות של סעיף 3 לחוק האימוץ ככולל </w:t>
      </w:r>
      <w:r>
        <w:rPr>
          <w:rFonts w:hint="cs"/>
          <w:rtl/>
        </w:rPr>
        <w:lastRenderedPageBreak/>
        <w:t xml:space="preserve">גם זוגות מאותו המין. לפי עמדה זו, אף כי קיים קושי לשוני באימוץ הפרשנות האמורה, לשון החוק יכולה לשאת פרשנות זו שכן לשונו של הסעיף מכוונת ליצור הבחנה בין אימוץ על ידי תא משפחתי זוגי לבין אימוץ על ידי מאמץ יחיד. אשר לתכלית הסובייקטיבית, נטען כי בעת חקיקת ההסדר, לא נדרש המחוקק לשאלה של אימוץ על ידי זוגות מאותו המין. עוד צוין כי פרשנות זו תקדם הרמוניה חקיקתית והמשכיות בין ההסדר שקבוע בחוק האימוץ לבין ההסדר שקבוע בחוק אומנה לילדים, התשע"ו-2016 עוד צוין כי חוק האימוץ אינו מסדיר מעמד אישי. לעמדת היועצת המשפטית לממשלה, </w:t>
      </w:r>
      <w:r w:rsidRPr="00AE4552">
        <w:rPr>
          <w:rFonts w:ascii="FrankRuehl" w:hAnsi="FrankRuehl" w:hint="cs"/>
          <w:sz w:val="28"/>
          <w:rtl/>
        </w:rPr>
        <w:t xml:space="preserve">פרשנות שכוללת זוגות מאותו מין עולה בקנה אחד עם התכלית המרכזית של חוק האימוץ </w:t>
      </w:r>
      <w:r w:rsidRPr="00AE4552">
        <w:rPr>
          <w:rFonts w:ascii="FrankRuehl" w:hAnsi="FrankRuehl"/>
          <w:sz w:val="28"/>
          <w:rtl/>
        </w:rPr>
        <w:t>–</w:t>
      </w:r>
      <w:r w:rsidRPr="00AE4552">
        <w:rPr>
          <w:rFonts w:ascii="FrankRuehl" w:hAnsi="FrankRuehl" w:hint="cs"/>
          <w:sz w:val="28"/>
          <w:rtl/>
        </w:rPr>
        <w:t xml:space="preserve"> טובת הילד. צוין כי פרשנות החוק צריכה להיעשות בראש ובראשונה לפי תכלית זו</w:t>
      </w:r>
      <w:r>
        <w:rPr>
          <w:rFonts w:hint="cs"/>
          <w:rtl/>
        </w:rPr>
        <w:t xml:space="preserve"> ולא לפי עקרונות חיצוניים לחוק האימוץ, כדוגמת הזכות לשוויון, הזכות לכבוד, והזכות להורות. לצד זאת צוין כי פרשנות זו עולה בקנה אחד עם עקרונות חיצוניים לחוק, ובמרכזם הצורך לבחור בפרשנות המצמצמת את הפגיעה בזכויות אדם. עוד הודגש כי ככל שייקבע כי יש לאמץ פרשנות זו, יש לשמר את הפרקטיקה המוטמעת המאפשרת גמישות ושיקול דעת ביחס להתאמת הילד הספציפי למאמץ. </w:t>
      </w:r>
    </w:p>
    <w:p w:rsidR="0046011D" w:rsidRDefault="0046011D" w:rsidP="0046011D">
      <w:pPr>
        <w:pStyle w:val="Ruller41"/>
        <w:rPr>
          <w:rtl/>
        </w:rPr>
      </w:pPr>
    </w:p>
    <w:p w:rsidR="0046011D" w:rsidRDefault="0046011D" w:rsidP="0046011D">
      <w:pPr>
        <w:pStyle w:val="Ruller4"/>
      </w:pPr>
      <w:r w:rsidRPr="006E7632">
        <w:rPr>
          <w:rFonts w:hint="cs"/>
          <w:rtl/>
        </w:rPr>
        <w:t>לתגובה זו צורפה עמדת שר הרווחה, ש</w:t>
      </w:r>
      <w:r>
        <w:rPr>
          <w:rFonts w:hint="cs"/>
          <w:rtl/>
        </w:rPr>
        <w:t>אביאה כלשונה</w:t>
      </w:r>
      <w:r w:rsidRPr="006E7632">
        <w:rPr>
          <w:rFonts w:hint="cs"/>
          <w:rtl/>
        </w:rPr>
        <w:t xml:space="preserve">: </w:t>
      </w:r>
    </w:p>
    <w:p w:rsidR="0046011D" w:rsidRPr="006E7632" w:rsidRDefault="0046011D" w:rsidP="0046011D">
      <w:pPr>
        <w:pStyle w:val="Ruller5"/>
        <w:rPr>
          <w:rtl/>
        </w:rPr>
      </w:pPr>
      <w:r w:rsidRPr="006E7632">
        <w:rPr>
          <w:rFonts w:hint="cs"/>
          <w:rtl/>
        </w:rPr>
        <w:t xml:space="preserve">"הריני מתנגד לכל פרשנות שמאפשרת מסירת ילדים לאימוץ לזוגות חד מיניים, וזאת מטעמים של טובת הילד. ילד שנמסר לאימוץ נושא על גבו </w:t>
      </w:r>
      <w:proofErr w:type="spellStart"/>
      <w:r w:rsidRPr="006E7632">
        <w:rPr>
          <w:rFonts w:hint="cs"/>
          <w:rtl/>
        </w:rPr>
        <w:t>מורכבויות</w:t>
      </w:r>
      <w:proofErr w:type="spellEnd"/>
      <w:r w:rsidRPr="006E7632">
        <w:rPr>
          <w:rFonts w:hint="cs"/>
          <w:rtl/>
        </w:rPr>
        <w:t xml:space="preserve"> וקשיים, הן מעצם היותו ילד מאומץ והן נוכח נסיבות חייו או הנסיבות שהביאו לאימוצו. במצב דברים זה, העברתו למסגרת משפחתית חד מינית יש בה בכדי להוסיף לחייו מורכבות נוספת. קיימת חשיבות רבה להעברת ילד למסגרת משפחתית הדומה ביותר לזו שממנה הגיע, לקטין שנמסר לאימוץ לא ניתנת האפשרות לשמר את זהות הוריו הביולוגיים ולכן יש לעשות מאמץ לשמר עד כמה שניתן את אורח החיים והמסגרת המשפחתית שבה נולד. נוכח האמור, איני רואה מקום לפרשנות של החוק הקיים או לתיקון החוק כפי שהוצע".   </w:t>
      </w:r>
    </w:p>
    <w:p w:rsidR="0046011D" w:rsidRDefault="0046011D" w:rsidP="0046011D">
      <w:pPr>
        <w:pStyle w:val="Ruller41"/>
        <w:rPr>
          <w:rtl/>
        </w:rPr>
      </w:pPr>
    </w:p>
    <w:p w:rsidR="0046011D" w:rsidRDefault="0046011D" w:rsidP="0046011D">
      <w:pPr>
        <w:pStyle w:val="Ruller4"/>
        <w:rPr>
          <w:rtl/>
        </w:rPr>
      </w:pPr>
      <w:r>
        <w:rPr>
          <w:rtl/>
        </w:rPr>
        <w:tab/>
      </w:r>
      <w:r>
        <w:rPr>
          <w:rFonts w:hint="cs"/>
          <w:rtl/>
        </w:rPr>
        <w:t xml:space="preserve">ביום 2.8.2023 קיימנו דיון בעתירה, שבו שמענו את טיעוני הצדדים לגבי השאלה הפרשנית שבמוקד העתירה. בפתח הדיון הסכימו המשיבים כי הדיון יתקיים כאילו ניתן צו על תנאי בעתירה. במסגרת הדיון, התייחסו העותרים לעמדתה העדכנית של הסתדרות הפסיכולוגים בעניין אימוץ על ידי בני זוג מאותו מין, שהובאה במכתב לשר הרווחה (לבקשת בית המשפט, הגישו העותרים את המכתב למחרת הדיון). במסגרת זאת הודגש כי עמדתו של השר עומדת בסתירה לממצאי המחקר שנערכו בנושא הן בישראל, הן במדינות אחרות בעולם. כנטען, מחקרים אלה מצביעים באופן חד משמעי על כך שאין הבדל פסיכולוגי והתפתחותי בין ילדים שגדלים בקרב זוגות מאותו המין </w:t>
      </w:r>
      <w:r>
        <w:rPr>
          <w:rFonts w:hint="cs"/>
          <w:rtl/>
        </w:rPr>
        <w:lastRenderedPageBreak/>
        <w:t>בהשוואה לילדים שגדלים בקרב זוגות הטרוסקסואליים. עוד הודגש כי גידול ילדים בקרב זוגות מאותו המין אינו משפיע באופן שלילי על בריאותם הנפשית של ילדים ואף אינו פוגע בהתפתחותם הפסיכולוגית והרגשית. צוין כי עמדה זו תואמת את עמדתם של ארגונים מקבילים בעולם, ובהם את עמדת ארגון הפסיכולוגיי</w:t>
      </w:r>
      <w:r>
        <w:rPr>
          <w:rFonts w:hint="eastAsia"/>
          <w:rtl/>
        </w:rPr>
        <w:t>ם</w:t>
      </w:r>
      <w:r>
        <w:rPr>
          <w:rFonts w:hint="cs"/>
          <w:rtl/>
        </w:rPr>
        <w:t xml:space="preserve"> האמריקאי (</w:t>
      </w:r>
      <w:r>
        <w:t>APA –</w:t>
      </w:r>
      <w:r w:rsidRPr="00733027">
        <w:t xml:space="preserve"> American Psychological Association</w:t>
      </w:r>
      <w:r>
        <w:rPr>
          <w:rFonts w:hint="cs"/>
          <w:rtl/>
        </w:rPr>
        <w:t xml:space="preserve">). </w:t>
      </w:r>
    </w:p>
    <w:p w:rsidR="0046011D" w:rsidRDefault="0046011D" w:rsidP="0046011D">
      <w:pPr>
        <w:pStyle w:val="Ruller41"/>
        <w:rPr>
          <w:rtl/>
        </w:rPr>
      </w:pPr>
    </w:p>
    <w:p w:rsidR="0046011D" w:rsidRDefault="0046011D" w:rsidP="0046011D">
      <w:pPr>
        <w:pStyle w:val="Ruller41"/>
        <w:rPr>
          <w:rFonts w:ascii="Century" w:hAnsi="Century" w:cs="Miriam"/>
          <w:b/>
          <w:spacing w:val="0"/>
          <w:szCs w:val="24"/>
          <w:rtl/>
        </w:rPr>
      </w:pPr>
      <w:r w:rsidRPr="00A965CD">
        <w:rPr>
          <w:rFonts w:ascii="Century" w:hAnsi="Century" w:cs="Miriam" w:hint="cs"/>
          <w:b/>
          <w:spacing w:val="0"/>
          <w:szCs w:val="24"/>
          <w:rtl/>
        </w:rPr>
        <w:t>דיון והכרעה</w:t>
      </w:r>
    </w:p>
    <w:p w:rsidR="0046011D" w:rsidRPr="004E7A39" w:rsidRDefault="0046011D" w:rsidP="0046011D">
      <w:pPr>
        <w:pStyle w:val="Ruller4"/>
        <w:numPr>
          <w:ilvl w:val="0"/>
          <w:numId w:val="0"/>
        </w:numPr>
        <w:rPr>
          <w:sz w:val="18"/>
          <w:szCs w:val="20"/>
        </w:rPr>
      </w:pPr>
    </w:p>
    <w:p w:rsidR="0046011D" w:rsidRPr="00AE4552" w:rsidRDefault="0046011D" w:rsidP="0046011D">
      <w:pPr>
        <w:pStyle w:val="Ruller4"/>
        <w:rPr>
          <w:rtl/>
        </w:rPr>
      </w:pPr>
      <w:r>
        <w:rPr>
          <w:rFonts w:hint="cs"/>
          <w:rtl/>
        </w:rPr>
        <w:t xml:space="preserve">כפי שתואר בפירוט לעיל, הסוגיה שבמוקד הליך זה הגיעה לראשונה לפתחנו בעתירה שהוגשה בשנת 2016. בסופו של יום, אותה עתירה נמחקה לאחר שהמדינה הצהירה כי בכוונתה לקדם תיקון חקיקה שבגדרו יתוקן החוק, כך שתבוטל העדיפות המוקנית לזוגות הטרוסקסואליים על פני זוגות מאותו המין. בנסיבות אלו, נמנע בית המשפט מהידרשות לשאלה הפרשנית ששבו והציבו העותרים לפנינו. ואולם, אף בחלוף שנים ארוכות </w:t>
      </w:r>
      <w:r w:rsidRPr="00AE4552">
        <w:rPr>
          <w:rFonts w:hint="cs"/>
          <w:rtl/>
        </w:rPr>
        <w:t>ממועד פסק הדין שהורה על מחיקת העתירה, הליך חקיקה כאמור לא הושלם. כפי שצוין לעיל, מלבד תזכיר החקיקה שפורסם בשנת 2019, טרם הונחה הצעת חוק בעניין זה במליאת הכ</w:t>
      </w:r>
      <w:r>
        <w:rPr>
          <w:rFonts w:hint="cs"/>
          <w:rtl/>
        </w:rPr>
        <w:t>נסת. בשים לב להשתלשלות האמורה ו</w:t>
      </w:r>
      <w:r w:rsidRPr="00AE4552">
        <w:rPr>
          <w:rFonts w:hint="cs"/>
          <w:rtl/>
        </w:rPr>
        <w:t>לזמן הממושך שבו הנושא עומד לפתחנו,</w:t>
      </w:r>
      <w:r>
        <w:rPr>
          <w:rFonts w:hint="cs"/>
          <w:rtl/>
        </w:rPr>
        <w:t xml:space="preserve"> </w:t>
      </w:r>
      <w:r w:rsidRPr="00AE4552">
        <w:rPr>
          <w:rFonts w:hint="cs"/>
          <w:rtl/>
        </w:rPr>
        <w:t>ובהינתן העובדה ש</w:t>
      </w:r>
      <w:r>
        <w:rPr>
          <w:rFonts w:hint="cs"/>
          <w:rtl/>
        </w:rPr>
        <w:t>אין בנמצא בעת הזו אופק חקיקתי להסדרת הסוגיה, אין מנוס מהכרעה</w:t>
      </w:r>
      <w:r w:rsidRPr="00AE4552">
        <w:rPr>
          <w:rFonts w:hint="cs"/>
          <w:rtl/>
        </w:rPr>
        <w:t xml:space="preserve"> בשאלה הפרשנית שלפנינו.</w:t>
      </w:r>
      <w:r>
        <w:rPr>
          <w:rFonts w:hint="cs"/>
          <w:rtl/>
        </w:rPr>
        <w:t xml:space="preserve"> זאת, בפרט בשים לב לכך שמדובר בסוגיה בעלת השפעה ניכרת על חיי המעשה ועל טובתם של ילדים המצויים בהליכי אימוץ, כפי שיפורט להלן. </w:t>
      </w:r>
    </w:p>
    <w:p w:rsidR="0046011D" w:rsidRPr="00AE4552" w:rsidRDefault="0046011D" w:rsidP="0046011D">
      <w:pPr>
        <w:pStyle w:val="Ruller41"/>
      </w:pPr>
    </w:p>
    <w:p w:rsidR="00FE6FA3" w:rsidRDefault="0046011D" w:rsidP="004E7A39">
      <w:pPr>
        <w:pStyle w:val="Ruller4"/>
        <w:rPr>
          <w:rtl/>
        </w:rPr>
      </w:pPr>
      <w:r w:rsidRPr="00AE4552">
        <w:rPr>
          <w:rFonts w:hint="cs"/>
          <w:rtl/>
        </w:rPr>
        <w:t xml:space="preserve">על יסוד הרקע האמור, נעבור לשאלה שעומדת לפתחנו במסגרת העתירה דנן: האם </w:t>
      </w:r>
      <w:r>
        <w:rPr>
          <w:rFonts w:hint="cs"/>
          <w:rtl/>
        </w:rPr>
        <w:t xml:space="preserve">פירושו של </w:t>
      </w:r>
      <w:r w:rsidRPr="00AE4552">
        <w:rPr>
          <w:rFonts w:hint="cs"/>
          <w:rtl/>
        </w:rPr>
        <w:t>סעיף 3 רישא לחוק האימוץ שקובע כי "אין אימוץ אלא על ידי איש ואשתו יחד"</w:t>
      </w:r>
      <w:r>
        <w:rPr>
          <w:rFonts w:hint="cs"/>
          <w:rtl/>
        </w:rPr>
        <w:t xml:space="preserve"> על פי תכליותיו</w:t>
      </w:r>
      <w:r w:rsidRPr="00AE4552">
        <w:rPr>
          <w:rFonts w:hint="cs"/>
          <w:rtl/>
        </w:rPr>
        <w:t xml:space="preserve"> קובע תנאי סף שמגביל את תחולתו אך לזוגות הטרוסקסואליים, או שמא </w:t>
      </w:r>
      <w:r>
        <w:rPr>
          <w:rFonts w:hint="cs"/>
          <w:rtl/>
        </w:rPr>
        <w:t>בגדרי סעיף זה באים גם זוגות מ</w:t>
      </w:r>
      <w:r w:rsidRPr="00AE4552">
        <w:rPr>
          <w:rFonts w:hint="cs"/>
          <w:rtl/>
        </w:rPr>
        <w:t xml:space="preserve">אותו </w:t>
      </w:r>
      <w:r>
        <w:rPr>
          <w:rFonts w:hint="cs"/>
          <w:rtl/>
        </w:rPr>
        <w:t>ה</w:t>
      </w:r>
      <w:r w:rsidRPr="00AE4552">
        <w:rPr>
          <w:rFonts w:hint="cs"/>
          <w:rtl/>
        </w:rPr>
        <w:t xml:space="preserve">מין? אקדים אחרית לראשית ואומר כי הגעתי למסקנה </w:t>
      </w:r>
      <w:r>
        <w:rPr>
          <w:rFonts w:hint="cs"/>
          <w:rtl/>
        </w:rPr>
        <w:t>ש</w:t>
      </w:r>
      <w:r w:rsidRPr="00AE4552">
        <w:rPr>
          <w:rFonts w:hint="eastAsia"/>
          <w:rtl/>
        </w:rPr>
        <w:t>יישום</w:t>
      </w:r>
      <w:r w:rsidRPr="00AE4552">
        <w:rPr>
          <w:rtl/>
        </w:rPr>
        <w:t xml:space="preserve"> </w:t>
      </w:r>
      <w:r w:rsidRPr="00AE4552">
        <w:rPr>
          <w:rFonts w:hint="eastAsia"/>
          <w:rtl/>
        </w:rPr>
        <w:t>עקרונות</w:t>
      </w:r>
      <w:r w:rsidRPr="00AE4552">
        <w:rPr>
          <w:rtl/>
        </w:rPr>
        <w:t xml:space="preserve"> </w:t>
      </w:r>
      <w:r w:rsidRPr="00AE4552">
        <w:rPr>
          <w:rFonts w:hint="eastAsia"/>
          <w:rtl/>
        </w:rPr>
        <w:t>תורת</w:t>
      </w:r>
      <w:r w:rsidRPr="00AE4552">
        <w:rPr>
          <w:rtl/>
        </w:rPr>
        <w:t xml:space="preserve"> </w:t>
      </w:r>
      <w:r w:rsidRPr="00AE4552">
        <w:rPr>
          <w:rFonts w:hint="eastAsia"/>
          <w:rtl/>
        </w:rPr>
        <w:t>הפרשנות</w:t>
      </w:r>
      <w:r w:rsidRPr="00AE4552">
        <w:rPr>
          <w:rtl/>
        </w:rPr>
        <w:t xml:space="preserve"> </w:t>
      </w:r>
      <w:r w:rsidRPr="00AE4552">
        <w:rPr>
          <w:rFonts w:hint="eastAsia"/>
          <w:rtl/>
        </w:rPr>
        <w:t>התכליתית</w:t>
      </w:r>
      <w:r w:rsidRPr="00AE4552">
        <w:rPr>
          <w:rtl/>
        </w:rPr>
        <w:t xml:space="preserve"> </w:t>
      </w:r>
      <w:r>
        <w:rPr>
          <w:rFonts w:hint="cs"/>
          <w:rtl/>
        </w:rPr>
        <w:t>במקרה זה מעלה כי יש לבכר את הפרשנות שכוללת זוגות מאותו המין בגדרי הסעיף</w:t>
      </w:r>
      <w:r w:rsidRPr="00AE4552">
        <w:rPr>
          <w:rFonts w:hint="cs"/>
          <w:rtl/>
        </w:rPr>
        <w:t xml:space="preserve">. </w:t>
      </w:r>
      <w:r w:rsidRPr="00AE4552">
        <w:rPr>
          <w:rFonts w:hint="eastAsia"/>
          <w:rtl/>
        </w:rPr>
        <w:t>מתווה</w:t>
      </w:r>
      <w:r w:rsidRPr="00AE4552">
        <w:rPr>
          <w:rtl/>
        </w:rPr>
        <w:t xml:space="preserve"> </w:t>
      </w:r>
      <w:r w:rsidRPr="00AE4552">
        <w:rPr>
          <w:rFonts w:hint="eastAsia"/>
          <w:rtl/>
        </w:rPr>
        <w:t>הדיון</w:t>
      </w:r>
      <w:r w:rsidRPr="00AE4552">
        <w:rPr>
          <w:rtl/>
        </w:rPr>
        <w:t xml:space="preserve"> </w:t>
      </w:r>
      <w:r w:rsidRPr="00AE4552">
        <w:rPr>
          <w:rFonts w:hint="eastAsia"/>
          <w:rtl/>
        </w:rPr>
        <w:t>יהיה</w:t>
      </w:r>
      <w:r w:rsidRPr="00AE4552">
        <w:rPr>
          <w:rtl/>
        </w:rPr>
        <w:t xml:space="preserve"> </w:t>
      </w:r>
      <w:r w:rsidRPr="00AE4552">
        <w:rPr>
          <w:rFonts w:hint="eastAsia"/>
          <w:rtl/>
        </w:rPr>
        <w:t>כדלקמן</w:t>
      </w:r>
      <w:r w:rsidRPr="00AE4552">
        <w:rPr>
          <w:rtl/>
        </w:rPr>
        <w:t xml:space="preserve">: </w:t>
      </w:r>
      <w:r w:rsidRPr="00AE4552">
        <w:rPr>
          <w:rFonts w:hint="eastAsia"/>
          <w:rtl/>
        </w:rPr>
        <w:t>תחילה</w:t>
      </w:r>
      <w:r w:rsidRPr="00AE4552">
        <w:rPr>
          <w:rFonts w:hint="cs"/>
          <w:rtl/>
        </w:rPr>
        <w:t xml:space="preserve"> אציג את </w:t>
      </w:r>
      <w:r w:rsidRPr="00AE4552">
        <w:rPr>
          <w:rFonts w:hint="eastAsia"/>
          <w:rtl/>
        </w:rPr>
        <w:t>התשתית</w:t>
      </w:r>
      <w:r w:rsidRPr="00AC6806">
        <w:rPr>
          <w:rtl/>
        </w:rPr>
        <w:t xml:space="preserve"> </w:t>
      </w:r>
      <w:r w:rsidRPr="00AC6806">
        <w:rPr>
          <w:rFonts w:hint="eastAsia"/>
          <w:rtl/>
        </w:rPr>
        <w:t>המשפטית</w:t>
      </w:r>
      <w:r w:rsidRPr="00AC6806">
        <w:rPr>
          <w:rtl/>
        </w:rPr>
        <w:t xml:space="preserve"> </w:t>
      </w:r>
      <w:r w:rsidRPr="00AC6806">
        <w:rPr>
          <w:rFonts w:hint="eastAsia"/>
          <w:rtl/>
        </w:rPr>
        <w:t>למלאכת</w:t>
      </w:r>
      <w:r w:rsidRPr="00AC6806">
        <w:rPr>
          <w:rtl/>
        </w:rPr>
        <w:t xml:space="preserve"> </w:t>
      </w:r>
      <w:r w:rsidRPr="00AC6806">
        <w:rPr>
          <w:rFonts w:hint="eastAsia"/>
          <w:rtl/>
        </w:rPr>
        <w:t>הפרשנות</w:t>
      </w:r>
      <w:r w:rsidRPr="00AC6806">
        <w:rPr>
          <w:rtl/>
        </w:rPr>
        <w:t xml:space="preserve"> </w:t>
      </w:r>
      <w:r w:rsidRPr="00AC6806">
        <w:rPr>
          <w:rFonts w:hint="eastAsia"/>
          <w:rtl/>
        </w:rPr>
        <w:t>התכליתית</w:t>
      </w:r>
      <w:r w:rsidRPr="00AC6806">
        <w:rPr>
          <w:rtl/>
        </w:rPr>
        <w:t xml:space="preserve">. </w:t>
      </w:r>
      <w:r>
        <w:rPr>
          <w:rFonts w:hint="cs"/>
          <w:rtl/>
        </w:rPr>
        <w:t xml:space="preserve">על יסוד עקרונות אלה, אפנה לבחינת פרשנותו של סעיף 3 לחוק האימוץ. </w:t>
      </w:r>
    </w:p>
    <w:p w:rsidR="00FE6FA3" w:rsidRPr="0014608E" w:rsidRDefault="00FE6FA3" w:rsidP="0046011D">
      <w:pPr>
        <w:pStyle w:val="Ruller41"/>
        <w:rPr>
          <w:rtl/>
        </w:rPr>
      </w:pPr>
    </w:p>
    <w:p w:rsidR="0046011D" w:rsidRDefault="0046011D" w:rsidP="0046011D">
      <w:pPr>
        <w:pStyle w:val="Ruller41"/>
        <w:rPr>
          <w:rFonts w:ascii="Century" w:hAnsi="Century" w:cs="Miriam"/>
          <w:b/>
          <w:spacing w:val="0"/>
          <w:szCs w:val="24"/>
          <w:rtl/>
        </w:rPr>
      </w:pPr>
      <w:r>
        <w:rPr>
          <w:rFonts w:ascii="Century" w:hAnsi="Century" w:cs="Miriam" w:hint="cs"/>
          <w:b/>
          <w:spacing w:val="0"/>
          <w:szCs w:val="24"/>
          <w:rtl/>
        </w:rPr>
        <w:t>המסגרת הפרשנית</w:t>
      </w:r>
    </w:p>
    <w:p w:rsidR="0046011D" w:rsidRDefault="0046011D" w:rsidP="0046011D">
      <w:pPr>
        <w:pStyle w:val="Ruller41"/>
        <w:rPr>
          <w:rFonts w:ascii="Century" w:hAnsi="Century" w:cs="Miriam"/>
          <w:b/>
          <w:spacing w:val="0"/>
          <w:szCs w:val="24"/>
          <w:rtl/>
        </w:rPr>
      </w:pPr>
    </w:p>
    <w:p w:rsidR="0046011D" w:rsidRDefault="0046011D" w:rsidP="0046011D">
      <w:pPr>
        <w:pStyle w:val="Ruller4"/>
        <w:rPr>
          <w:rtl/>
        </w:rPr>
      </w:pPr>
      <w:r>
        <w:rPr>
          <w:rFonts w:hint="cs"/>
          <w:rtl/>
        </w:rPr>
        <w:t xml:space="preserve">עקרונות הפרשנות התכליתית, כפי שאלה עוצבו בשיטת משפטנו, מורים כי פרשנות חקיקה תיעשה בשלושה שלבים. תחילה, על הפרשן לבחון את לשון החקיקה, </w:t>
      </w:r>
      <w:r>
        <w:rPr>
          <w:rFonts w:hint="cs"/>
          <w:sz w:val="28"/>
          <w:rtl/>
        </w:rPr>
        <w:lastRenderedPageBreak/>
        <w:t xml:space="preserve">אשר </w:t>
      </w:r>
      <w:r w:rsidRPr="00E74765">
        <w:rPr>
          <w:rFonts w:hint="cs"/>
          <w:sz w:val="28"/>
          <w:rtl/>
        </w:rPr>
        <w:t>תוחמת את גדר הפרשנויות שהחוק יכול לשאת</w:t>
      </w:r>
      <w:r>
        <w:rPr>
          <w:rFonts w:hint="cs"/>
          <w:sz w:val="28"/>
          <w:rtl/>
        </w:rPr>
        <w:t>.</w:t>
      </w:r>
      <w:r>
        <w:rPr>
          <w:rFonts w:hint="cs"/>
          <w:rtl/>
        </w:rPr>
        <w:t xml:space="preserve"> </w:t>
      </w:r>
      <w:r w:rsidRPr="0014608E">
        <w:rPr>
          <w:rFonts w:hint="eastAsia"/>
          <w:rtl/>
        </w:rPr>
        <w:t>בשלב</w:t>
      </w:r>
      <w:r w:rsidRPr="0014608E">
        <w:rPr>
          <w:rtl/>
        </w:rPr>
        <w:t xml:space="preserve"> </w:t>
      </w:r>
      <w:r w:rsidRPr="0014608E">
        <w:rPr>
          <w:rFonts w:hint="eastAsia"/>
          <w:rtl/>
        </w:rPr>
        <w:t>זה</w:t>
      </w:r>
      <w:r w:rsidRPr="0014608E">
        <w:rPr>
          <w:rtl/>
        </w:rPr>
        <w:t xml:space="preserve"> </w:t>
      </w:r>
      <w:r w:rsidRPr="0014608E">
        <w:rPr>
          <w:rFonts w:hint="eastAsia"/>
          <w:rtl/>
        </w:rPr>
        <w:t>יש</w:t>
      </w:r>
      <w:r w:rsidRPr="0014608E">
        <w:rPr>
          <w:rtl/>
        </w:rPr>
        <w:t xml:space="preserve"> </w:t>
      </w:r>
      <w:r w:rsidRPr="0014608E">
        <w:rPr>
          <w:rFonts w:hint="eastAsia"/>
          <w:rtl/>
        </w:rPr>
        <w:t>לחלץ</w:t>
      </w:r>
      <w:r w:rsidRPr="0014608E">
        <w:rPr>
          <w:rtl/>
        </w:rPr>
        <w:t xml:space="preserve"> </w:t>
      </w:r>
      <w:r w:rsidRPr="0014608E">
        <w:rPr>
          <w:rFonts w:hint="eastAsia"/>
          <w:rtl/>
        </w:rPr>
        <w:t>ממילות</w:t>
      </w:r>
      <w:r w:rsidRPr="0014608E">
        <w:rPr>
          <w:rtl/>
        </w:rPr>
        <w:t xml:space="preserve"> </w:t>
      </w:r>
      <w:r w:rsidRPr="0014608E">
        <w:rPr>
          <w:rFonts w:hint="eastAsia"/>
          <w:rtl/>
        </w:rPr>
        <w:t>החוק</w:t>
      </w:r>
      <w:r w:rsidRPr="0014608E">
        <w:rPr>
          <w:rtl/>
        </w:rPr>
        <w:t xml:space="preserve"> </w:t>
      </w:r>
      <w:r w:rsidRPr="0014608E">
        <w:rPr>
          <w:rFonts w:hint="eastAsia"/>
          <w:rtl/>
        </w:rPr>
        <w:t>את</w:t>
      </w:r>
      <w:r w:rsidRPr="0014608E">
        <w:rPr>
          <w:rtl/>
        </w:rPr>
        <w:t xml:space="preserve"> </w:t>
      </w:r>
      <w:r w:rsidRPr="0014608E">
        <w:rPr>
          <w:rFonts w:hint="eastAsia"/>
          <w:rtl/>
        </w:rPr>
        <w:t>המשמעויות</w:t>
      </w:r>
      <w:r w:rsidRPr="0014608E">
        <w:rPr>
          <w:rtl/>
        </w:rPr>
        <w:t xml:space="preserve"> </w:t>
      </w:r>
      <w:r w:rsidRPr="0014608E">
        <w:rPr>
          <w:rFonts w:hint="eastAsia"/>
          <w:rtl/>
        </w:rPr>
        <w:t>אשר</w:t>
      </w:r>
      <w:r w:rsidRPr="0014608E">
        <w:rPr>
          <w:rtl/>
        </w:rPr>
        <w:t xml:space="preserve"> </w:t>
      </w:r>
      <w:r w:rsidRPr="0014608E">
        <w:rPr>
          <w:rFonts w:hint="eastAsia"/>
          <w:rtl/>
        </w:rPr>
        <w:t>נמצאות</w:t>
      </w:r>
      <w:r w:rsidRPr="0014608E">
        <w:rPr>
          <w:rtl/>
        </w:rPr>
        <w:t xml:space="preserve"> </w:t>
      </w:r>
      <w:r w:rsidRPr="0014608E">
        <w:rPr>
          <w:rFonts w:hint="eastAsia"/>
          <w:rtl/>
        </w:rPr>
        <w:t>במתחם</w:t>
      </w:r>
      <w:r w:rsidRPr="0014608E">
        <w:rPr>
          <w:rtl/>
        </w:rPr>
        <w:t xml:space="preserve"> </w:t>
      </w:r>
      <w:r w:rsidRPr="0014608E">
        <w:rPr>
          <w:rFonts w:hint="eastAsia"/>
          <w:rtl/>
        </w:rPr>
        <w:t>האפשרויות</w:t>
      </w:r>
      <w:r w:rsidRPr="0014608E">
        <w:rPr>
          <w:rtl/>
        </w:rPr>
        <w:t xml:space="preserve"> </w:t>
      </w:r>
      <w:r w:rsidRPr="0014608E">
        <w:rPr>
          <w:rFonts w:hint="eastAsia"/>
          <w:rtl/>
        </w:rPr>
        <w:t>הלשוניות</w:t>
      </w:r>
      <w:r>
        <w:rPr>
          <w:rFonts w:hint="cs"/>
          <w:rtl/>
        </w:rPr>
        <w:t xml:space="preserve">, </w:t>
      </w:r>
      <w:r w:rsidRPr="0014608E">
        <w:rPr>
          <w:rFonts w:hint="eastAsia"/>
          <w:rtl/>
        </w:rPr>
        <w:t>ולהסיר</w:t>
      </w:r>
      <w:r w:rsidRPr="0014608E">
        <w:rPr>
          <w:rtl/>
        </w:rPr>
        <w:t xml:space="preserve"> </w:t>
      </w:r>
      <w:r w:rsidRPr="0014608E">
        <w:rPr>
          <w:rFonts w:hint="eastAsia"/>
          <w:rtl/>
        </w:rPr>
        <w:t>מ</w:t>
      </w:r>
      <w:r>
        <w:rPr>
          <w:rFonts w:hint="cs"/>
          <w:rtl/>
        </w:rPr>
        <w:t>מתחם האפשרויות את אלו</w:t>
      </w:r>
      <w:r w:rsidRPr="0014608E">
        <w:rPr>
          <w:rtl/>
        </w:rPr>
        <w:t xml:space="preserve"> </w:t>
      </w:r>
      <w:r w:rsidRPr="0014608E">
        <w:rPr>
          <w:rFonts w:hint="eastAsia"/>
          <w:rtl/>
        </w:rPr>
        <w:t>שהלשון</w:t>
      </w:r>
      <w:r w:rsidRPr="0014608E">
        <w:rPr>
          <w:rtl/>
        </w:rPr>
        <w:t xml:space="preserve"> </w:t>
      </w:r>
      <w:r w:rsidRPr="0014608E">
        <w:rPr>
          <w:rFonts w:hint="eastAsia"/>
          <w:rtl/>
        </w:rPr>
        <w:t>איננה</w:t>
      </w:r>
      <w:r w:rsidRPr="0014608E">
        <w:rPr>
          <w:rtl/>
        </w:rPr>
        <w:t xml:space="preserve"> </w:t>
      </w:r>
      <w:r w:rsidRPr="0014608E">
        <w:rPr>
          <w:rFonts w:hint="eastAsia"/>
          <w:rtl/>
        </w:rPr>
        <w:t>יכולה</w:t>
      </w:r>
      <w:r w:rsidRPr="0014608E">
        <w:rPr>
          <w:rtl/>
        </w:rPr>
        <w:t xml:space="preserve"> </w:t>
      </w:r>
      <w:r w:rsidRPr="0014608E">
        <w:rPr>
          <w:rFonts w:hint="eastAsia"/>
          <w:rtl/>
        </w:rPr>
        <w:t>לסבול</w:t>
      </w:r>
      <w:r>
        <w:rPr>
          <w:rFonts w:hint="cs"/>
          <w:rtl/>
        </w:rPr>
        <w:t xml:space="preserve"> (</w:t>
      </w:r>
      <w:proofErr w:type="spellStart"/>
      <w:r w:rsidRPr="00F523D3">
        <w:rPr>
          <w:rFonts w:hint="eastAsia"/>
          <w:rtl/>
        </w:rPr>
        <w:t>עע</w:t>
      </w:r>
      <w:r w:rsidRPr="00F523D3">
        <w:rPr>
          <w:rtl/>
        </w:rPr>
        <w:t>"</w:t>
      </w:r>
      <w:r w:rsidRPr="00F523D3">
        <w:rPr>
          <w:rFonts w:hint="eastAsia"/>
          <w:rtl/>
        </w:rPr>
        <w:t>מ</w:t>
      </w:r>
      <w:proofErr w:type="spellEnd"/>
      <w:r w:rsidRPr="00F523D3">
        <w:rPr>
          <w:rtl/>
        </w:rPr>
        <w:t xml:space="preserve"> 4846</w:t>
      </w:r>
      <w:r>
        <w:rPr>
          <w:rFonts w:hint="cs"/>
          <w:rtl/>
        </w:rPr>
        <w:t>/</w:t>
      </w:r>
      <w:r w:rsidRPr="00F523D3">
        <w:rPr>
          <w:rtl/>
        </w:rPr>
        <w:t xml:space="preserve">20 </w:t>
      </w:r>
      <w:r w:rsidRPr="00F523D3">
        <w:rPr>
          <w:rFonts w:ascii="Century" w:hAnsi="Century" w:cs="Miriam" w:hint="eastAsia"/>
          <w:b/>
          <w:spacing w:val="0"/>
          <w:sz w:val="22"/>
          <w:szCs w:val="24"/>
          <w:rtl/>
        </w:rPr>
        <w:t>פז</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חברת</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נפט</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בע</w:t>
      </w:r>
      <w:r w:rsidRPr="00F523D3">
        <w:rPr>
          <w:rFonts w:ascii="Century" w:hAnsi="Century" w:cs="Miriam"/>
          <w:b/>
          <w:spacing w:val="0"/>
          <w:sz w:val="22"/>
          <w:szCs w:val="24"/>
          <w:rtl/>
        </w:rPr>
        <w:t>"</w:t>
      </w:r>
      <w:r w:rsidRPr="00F523D3">
        <w:rPr>
          <w:rFonts w:ascii="Century" w:hAnsi="Century" w:cs="Miriam" w:hint="eastAsia"/>
          <w:b/>
          <w:spacing w:val="0"/>
          <w:sz w:val="22"/>
          <w:szCs w:val="24"/>
          <w:rtl/>
        </w:rPr>
        <w:t>מ</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נ</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יושב</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ראש</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מועצת</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שמאי</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מקרקעין</w:t>
      </w:r>
      <w:r>
        <w:rPr>
          <w:rFonts w:hint="cs"/>
          <w:rtl/>
        </w:rPr>
        <w:t xml:space="preserve">, פסקה 13 (30.8.2022); </w:t>
      </w:r>
      <w:r w:rsidRPr="0069688F">
        <w:rPr>
          <w:rFonts w:hint="eastAsia"/>
          <w:rtl/>
        </w:rPr>
        <w:t>בג</w:t>
      </w:r>
      <w:r w:rsidRPr="0069688F">
        <w:rPr>
          <w:rtl/>
        </w:rPr>
        <w:t>"</w:t>
      </w:r>
      <w:r w:rsidRPr="0069688F">
        <w:rPr>
          <w:rFonts w:hint="eastAsia"/>
          <w:rtl/>
        </w:rPr>
        <w:t>ץ</w:t>
      </w:r>
      <w:r w:rsidRPr="0069688F">
        <w:rPr>
          <w:rFonts w:hint="cs"/>
          <w:rtl/>
        </w:rPr>
        <w:t xml:space="preserve"> 1765/22 </w:t>
      </w:r>
      <w:r w:rsidRPr="0014608E">
        <w:rPr>
          <w:rFonts w:ascii="Century" w:hAnsi="Century" w:cs="Miriam" w:hint="cs"/>
          <w:b/>
          <w:spacing w:val="0"/>
          <w:sz w:val="22"/>
          <w:szCs w:val="24"/>
          <w:rtl/>
        </w:rPr>
        <w:t xml:space="preserve">משרד תומר ורשה </w:t>
      </w:r>
      <w:r w:rsidRPr="0014608E">
        <w:rPr>
          <w:rFonts w:ascii="Century" w:hAnsi="Century" w:cs="Miriam"/>
          <w:b/>
          <w:spacing w:val="0"/>
          <w:sz w:val="22"/>
          <w:szCs w:val="24"/>
          <w:rtl/>
        </w:rPr>
        <w:t>–</w:t>
      </w:r>
      <w:r w:rsidRPr="0014608E">
        <w:rPr>
          <w:rFonts w:ascii="Century" w:hAnsi="Century" w:cs="Miriam" w:hint="cs"/>
          <w:b/>
          <w:spacing w:val="0"/>
          <w:sz w:val="22"/>
          <w:szCs w:val="24"/>
          <w:rtl/>
        </w:rPr>
        <w:t xml:space="preserve"> עורכי דין נ' שרת הפנים</w:t>
      </w:r>
      <w:r w:rsidRPr="0069688F">
        <w:rPr>
          <w:rFonts w:hint="cs"/>
          <w:rtl/>
        </w:rPr>
        <w:t xml:space="preserve">, פסקה 23 (3.7.2022) (להלן: עניין </w:t>
      </w:r>
      <w:r w:rsidRPr="0014608E">
        <w:rPr>
          <w:rFonts w:ascii="Century" w:hAnsi="Century" w:cs="Miriam" w:hint="cs"/>
          <w:b/>
          <w:spacing w:val="0"/>
          <w:sz w:val="22"/>
          <w:szCs w:val="24"/>
          <w:rtl/>
        </w:rPr>
        <w:t>תומר ורשה</w:t>
      </w:r>
      <w:r w:rsidRPr="0069688F">
        <w:rPr>
          <w:rFonts w:hint="cs"/>
          <w:rtl/>
        </w:rPr>
        <w:t>);</w:t>
      </w:r>
      <w:r>
        <w:rPr>
          <w:rFonts w:hint="cs"/>
          <w:rtl/>
        </w:rPr>
        <w:t xml:space="preserve"> </w:t>
      </w:r>
      <w:r w:rsidRPr="00B818CE">
        <w:rPr>
          <w:rFonts w:hint="eastAsia"/>
          <w:rtl/>
        </w:rPr>
        <w:t>בג</w:t>
      </w:r>
      <w:r w:rsidRPr="00B818CE">
        <w:rPr>
          <w:rtl/>
        </w:rPr>
        <w:t>"</w:t>
      </w:r>
      <w:r w:rsidRPr="00B818CE">
        <w:rPr>
          <w:rFonts w:hint="eastAsia"/>
          <w:rtl/>
        </w:rPr>
        <w:t>ץ</w:t>
      </w:r>
      <w:r w:rsidRPr="00B818CE">
        <w:rPr>
          <w:rtl/>
        </w:rPr>
        <w:t xml:space="preserve"> 7803/06 </w:t>
      </w:r>
      <w:r w:rsidRPr="0014608E">
        <w:rPr>
          <w:rFonts w:ascii="Century" w:hAnsi="Century" w:cs="Miriam" w:hint="eastAsia"/>
          <w:b/>
          <w:spacing w:val="0"/>
          <w:sz w:val="22"/>
          <w:szCs w:val="24"/>
          <w:rtl/>
        </w:rPr>
        <w:t>אבו</w:t>
      </w:r>
      <w:r w:rsidRPr="0014608E">
        <w:rPr>
          <w:rFonts w:ascii="Century" w:hAnsi="Century" w:cs="Miriam"/>
          <w:b/>
          <w:spacing w:val="0"/>
          <w:sz w:val="22"/>
          <w:szCs w:val="24"/>
          <w:rtl/>
        </w:rPr>
        <w:t xml:space="preserve"> </w:t>
      </w:r>
      <w:r w:rsidRPr="0014608E">
        <w:rPr>
          <w:rFonts w:ascii="Century" w:hAnsi="Century" w:cs="Miriam" w:hint="eastAsia"/>
          <w:b/>
          <w:spacing w:val="0"/>
          <w:sz w:val="22"/>
          <w:szCs w:val="24"/>
          <w:rtl/>
        </w:rPr>
        <w:t>ערפה</w:t>
      </w:r>
      <w:r w:rsidRPr="0014608E">
        <w:rPr>
          <w:rFonts w:ascii="Century" w:hAnsi="Century" w:cs="Miriam"/>
          <w:b/>
          <w:spacing w:val="0"/>
          <w:sz w:val="22"/>
          <w:szCs w:val="24"/>
          <w:rtl/>
        </w:rPr>
        <w:t xml:space="preserve"> </w:t>
      </w:r>
      <w:r w:rsidRPr="0014608E">
        <w:rPr>
          <w:rFonts w:ascii="Century" w:hAnsi="Century" w:cs="Miriam" w:hint="eastAsia"/>
          <w:b/>
          <w:spacing w:val="0"/>
          <w:sz w:val="22"/>
          <w:szCs w:val="24"/>
          <w:rtl/>
        </w:rPr>
        <w:t>נ</w:t>
      </w:r>
      <w:r w:rsidRPr="0014608E">
        <w:rPr>
          <w:rFonts w:ascii="Century" w:hAnsi="Century" w:cs="Miriam"/>
          <w:b/>
          <w:spacing w:val="0"/>
          <w:sz w:val="22"/>
          <w:szCs w:val="24"/>
          <w:rtl/>
        </w:rPr>
        <w:t xml:space="preserve">' </w:t>
      </w:r>
      <w:r w:rsidRPr="0014608E">
        <w:rPr>
          <w:rFonts w:ascii="Century" w:hAnsi="Century" w:cs="Miriam" w:hint="eastAsia"/>
          <w:b/>
          <w:spacing w:val="0"/>
          <w:sz w:val="22"/>
          <w:szCs w:val="24"/>
          <w:rtl/>
        </w:rPr>
        <w:t>שר</w:t>
      </w:r>
      <w:r w:rsidRPr="0014608E">
        <w:rPr>
          <w:rFonts w:ascii="Century" w:hAnsi="Century" w:cs="Miriam"/>
          <w:b/>
          <w:spacing w:val="0"/>
          <w:sz w:val="22"/>
          <w:szCs w:val="24"/>
          <w:rtl/>
        </w:rPr>
        <w:t xml:space="preserve"> </w:t>
      </w:r>
      <w:r w:rsidRPr="0014608E">
        <w:rPr>
          <w:rFonts w:ascii="Century" w:hAnsi="Century" w:cs="Miriam" w:hint="eastAsia"/>
          <w:b/>
          <w:spacing w:val="0"/>
          <w:sz w:val="22"/>
          <w:szCs w:val="24"/>
          <w:rtl/>
        </w:rPr>
        <w:t>הפנים</w:t>
      </w:r>
      <w:r w:rsidRPr="00B818CE">
        <w:rPr>
          <w:rtl/>
        </w:rPr>
        <w:t xml:space="preserve">, </w:t>
      </w:r>
      <w:r w:rsidRPr="00B818CE">
        <w:rPr>
          <w:rFonts w:hint="eastAsia"/>
          <w:rtl/>
        </w:rPr>
        <w:t>פסקה</w:t>
      </w:r>
      <w:r w:rsidRPr="00B818CE">
        <w:rPr>
          <w:rtl/>
        </w:rPr>
        <w:t xml:space="preserve"> 29 </w:t>
      </w:r>
      <w:r w:rsidRPr="00B818CE">
        <w:rPr>
          <w:rFonts w:hint="eastAsia"/>
          <w:rtl/>
        </w:rPr>
        <w:t>לחוות</w:t>
      </w:r>
      <w:r w:rsidRPr="00B818CE">
        <w:rPr>
          <w:rtl/>
        </w:rPr>
        <w:t xml:space="preserve"> </w:t>
      </w:r>
      <w:r w:rsidRPr="00B818CE">
        <w:rPr>
          <w:rFonts w:hint="eastAsia"/>
          <w:rtl/>
        </w:rPr>
        <w:t>דעתי</w:t>
      </w:r>
      <w:r w:rsidRPr="00B818CE">
        <w:rPr>
          <w:rtl/>
        </w:rPr>
        <w:t xml:space="preserve"> (</w:t>
      </w:r>
      <w:r w:rsidRPr="00D57DC6">
        <w:rPr>
          <w:rtl/>
        </w:rPr>
        <w:t>13.9.2007) (</w:t>
      </w:r>
      <w:r w:rsidRPr="00D57DC6">
        <w:rPr>
          <w:rFonts w:hint="eastAsia"/>
          <w:rtl/>
        </w:rPr>
        <w:t>להלן</w:t>
      </w:r>
      <w:r w:rsidRPr="00D57DC6">
        <w:rPr>
          <w:rtl/>
        </w:rPr>
        <w:t xml:space="preserve">: </w:t>
      </w:r>
      <w:r w:rsidRPr="0014608E">
        <w:rPr>
          <w:rFonts w:ascii="Century" w:hAnsi="Century" w:cs="Miriam" w:hint="eastAsia"/>
          <w:b/>
          <w:spacing w:val="0"/>
          <w:sz w:val="22"/>
          <w:szCs w:val="24"/>
          <w:rtl/>
        </w:rPr>
        <w:t>עניין</w:t>
      </w:r>
      <w:r w:rsidRPr="0014608E">
        <w:rPr>
          <w:rFonts w:ascii="Century" w:hAnsi="Century" w:cs="Miriam"/>
          <w:b/>
          <w:spacing w:val="0"/>
          <w:sz w:val="22"/>
          <w:szCs w:val="24"/>
          <w:rtl/>
        </w:rPr>
        <w:t xml:space="preserve"> </w:t>
      </w:r>
      <w:r w:rsidRPr="0014608E">
        <w:rPr>
          <w:rFonts w:ascii="Century" w:hAnsi="Century" w:cs="Miriam" w:hint="eastAsia"/>
          <w:b/>
          <w:spacing w:val="0"/>
          <w:sz w:val="22"/>
          <w:szCs w:val="24"/>
          <w:rtl/>
        </w:rPr>
        <w:t>אבו</w:t>
      </w:r>
      <w:r w:rsidRPr="0014608E">
        <w:rPr>
          <w:rFonts w:ascii="Century" w:hAnsi="Century" w:cs="Miriam"/>
          <w:b/>
          <w:spacing w:val="0"/>
          <w:sz w:val="22"/>
          <w:szCs w:val="24"/>
          <w:rtl/>
        </w:rPr>
        <w:t xml:space="preserve"> </w:t>
      </w:r>
      <w:r w:rsidRPr="0014608E">
        <w:rPr>
          <w:rFonts w:ascii="Century" w:hAnsi="Century" w:cs="Miriam" w:hint="eastAsia"/>
          <w:b/>
          <w:spacing w:val="0"/>
          <w:sz w:val="22"/>
          <w:szCs w:val="24"/>
          <w:rtl/>
        </w:rPr>
        <w:t>ערפה</w:t>
      </w:r>
      <w:r w:rsidRPr="00D57DC6">
        <w:rPr>
          <w:rtl/>
        </w:rPr>
        <w:t>)</w:t>
      </w:r>
      <w:r w:rsidRPr="00D57DC6">
        <w:rPr>
          <w:rFonts w:hint="cs"/>
          <w:rtl/>
        </w:rPr>
        <w:t xml:space="preserve">; </w:t>
      </w:r>
      <w:r w:rsidRPr="00B818CE">
        <w:rPr>
          <w:rFonts w:hint="eastAsia"/>
          <w:rtl/>
        </w:rPr>
        <w:t>ע</w:t>
      </w:r>
      <w:r w:rsidRPr="00B818CE">
        <w:rPr>
          <w:rtl/>
        </w:rPr>
        <w:t>"</w:t>
      </w:r>
      <w:r w:rsidRPr="00B818CE">
        <w:rPr>
          <w:rFonts w:hint="eastAsia"/>
          <w:rtl/>
        </w:rPr>
        <w:t>א</w:t>
      </w:r>
      <w:r w:rsidRPr="00B818CE">
        <w:rPr>
          <w:rtl/>
        </w:rPr>
        <w:t xml:space="preserve"> </w:t>
      </w:r>
      <w:r w:rsidRPr="0069688F">
        <w:rPr>
          <w:rtl/>
        </w:rPr>
        <w:t xml:space="preserve">1900/96 </w:t>
      </w:r>
      <w:proofErr w:type="spellStart"/>
      <w:r w:rsidRPr="0014608E">
        <w:rPr>
          <w:rFonts w:ascii="Century" w:hAnsi="Century" w:cs="Miriam" w:hint="eastAsia"/>
          <w:b/>
          <w:spacing w:val="0"/>
          <w:sz w:val="22"/>
          <w:szCs w:val="24"/>
          <w:rtl/>
        </w:rPr>
        <w:t>טלמצ</w:t>
      </w:r>
      <w:r w:rsidRPr="0014608E">
        <w:rPr>
          <w:rFonts w:ascii="Century" w:hAnsi="Century" w:cs="Miriam"/>
          <w:b/>
          <w:spacing w:val="0"/>
          <w:sz w:val="22"/>
          <w:szCs w:val="24"/>
          <w:rtl/>
        </w:rPr>
        <w:t>'</w:t>
      </w:r>
      <w:r w:rsidRPr="0014608E">
        <w:rPr>
          <w:rFonts w:ascii="Century" w:hAnsi="Century" w:cs="Miriam" w:hint="eastAsia"/>
          <w:b/>
          <w:spacing w:val="0"/>
          <w:sz w:val="22"/>
          <w:szCs w:val="24"/>
          <w:rtl/>
        </w:rPr>
        <w:t>יו</w:t>
      </w:r>
      <w:proofErr w:type="spellEnd"/>
      <w:r w:rsidRPr="0014608E">
        <w:rPr>
          <w:rFonts w:ascii="Century" w:hAnsi="Century" w:cs="Miriam"/>
          <w:b/>
          <w:spacing w:val="0"/>
          <w:sz w:val="22"/>
          <w:szCs w:val="24"/>
          <w:rtl/>
        </w:rPr>
        <w:t xml:space="preserve"> </w:t>
      </w:r>
      <w:r w:rsidRPr="0014608E">
        <w:rPr>
          <w:rFonts w:ascii="Century" w:hAnsi="Century" w:cs="Miriam" w:hint="eastAsia"/>
          <w:b/>
          <w:spacing w:val="0"/>
          <w:sz w:val="22"/>
          <w:szCs w:val="24"/>
          <w:rtl/>
        </w:rPr>
        <w:t>נ</w:t>
      </w:r>
      <w:r w:rsidRPr="0014608E">
        <w:rPr>
          <w:rFonts w:ascii="Century" w:hAnsi="Century" w:cs="Miriam"/>
          <w:b/>
          <w:spacing w:val="0"/>
          <w:sz w:val="22"/>
          <w:szCs w:val="24"/>
          <w:rtl/>
        </w:rPr>
        <w:t xml:space="preserve">' </w:t>
      </w:r>
      <w:r w:rsidRPr="0014608E">
        <w:rPr>
          <w:rFonts w:ascii="Century" w:hAnsi="Century" w:cs="Miriam" w:hint="eastAsia"/>
          <w:b/>
          <w:spacing w:val="0"/>
          <w:sz w:val="22"/>
          <w:szCs w:val="24"/>
          <w:rtl/>
        </w:rPr>
        <w:t>האפוטרופוס</w:t>
      </w:r>
      <w:r w:rsidRPr="0014608E">
        <w:rPr>
          <w:rFonts w:ascii="Century" w:hAnsi="Century" w:cs="Miriam"/>
          <w:b/>
          <w:spacing w:val="0"/>
          <w:sz w:val="22"/>
          <w:szCs w:val="24"/>
          <w:rtl/>
        </w:rPr>
        <w:t xml:space="preserve"> </w:t>
      </w:r>
      <w:r w:rsidRPr="0014608E">
        <w:rPr>
          <w:rFonts w:ascii="Century" w:hAnsi="Century" w:cs="Miriam" w:hint="eastAsia"/>
          <w:b/>
          <w:spacing w:val="0"/>
          <w:sz w:val="22"/>
          <w:szCs w:val="24"/>
          <w:rtl/>
        </w:rPr>
        <w:t>הכללי</w:t>
      </w:r>
      <w:r w:rsidRPr="0069688F">
        <w:rPr>
          <w:rtl/>
        </w:rPr>
        <w:t xml:space="preserve">, </w:t>
      </w:r>
      <w:r w:rsidRPr="0069688F">
        <w:rPr>
          <w:rFonts w:hint="eastAsia"/>
          <w:rtl/>
        </w:rPr>
        <w:t>פ</w:t>
      </w:r>
      <w:r w:rsidRPr="0069688F">
        <w:rPr>
          <w:rtl/>
        </w:rPr>
        <w:t>"</w:t>
      </w:r>
      <w:r w:rsidRPr="0069688F">
        <w:rPr>
          <w:rFonts w:hint="eastAsia"/>
          <w:rtl/>
        </w:rPr>
        <w:t>ד</w:t>
      </w:r>
      <w:r w:rsidRPr="0069688F">
        <w:rPr>
          <w:rtl/>
        </w:rPr>
        <w:t xml:space="preserve"> </w:t>
      </w:r>
      <w:proofErr w:type="spellStart"/>
      <w:r w:rsidRPr="0069688F">
        <w:rPr>
          <w:rFonts w:hint="eastAsia"/>
          <w:rtl/>
        </w:rPr>
        <w:t>נג</w:t>
      </w:r>
      <w:proofErr w:type="spellEnd"/>
      <w:r>
        <w:rPr>
          <w:rtl/>
        </w:rPr>
        <w:t>(2) 817, 827 (1999</w:t>
      </w:r>
      <w:r>
        <w:rPr>
          <w:rFonts w:hint="cs"/>
          <w:rtl/>
        </w:rPr>
        <w:t xml:space="preserve">)). </w:t>
      </w:r>
      <w:r w:rsidRPr="00185C11">
        <w:rPr>
          <w:rFonts w:hint="eastAsia"/>
          <w:rtl/>
        </w:rPr>
        <w:t>ככל</w:t>
      </w:r>
      <w:r w:rsidRPr="00185C11">
        <w:rPr>
          <w:rtl/>
        </w:rPr>
        <w:t xml:space="preserve"> </w:t>
      </w:r>
      <w:r w:rsidRPr="00185C11">
        <w:rPr>
          <w:rFonts w:hint="eastAsia"/>
          <w:rtl/>
        </w:rPr>
        <w:t>ש</w:t>
      </w:r>
      <w:r>
        <w:rPr>
          <w:rFonts w:hint="cs"/>
          <w:rtl/>
        </w:rPr>
        <w:t xml:space="preserve">בסופו של </w:t>
      </w:r>
      <w:r w:rsidRPr="00185C11">
        <w:rPr>
          <w:rFonts w:hint="eastAsia"/>
          <w:rtl/>
        </w:rPr>
        <w:t>השלב</w:t>
      </w:r>
      <w:r w:rsidRPr="00185C11">
        <w:rPr>
          <w:rtl/>
        </w:rPr>
        <w:t xml:space="preserve"> </w:t>
      </w:r>
      <w:r w:rsidRPr="00185C11">
        <w:rPr>
          <w:rFonts w:hint="eastAsia"/>
          <w:rtl/>
        </w:rPr>
        <w:t>הראשון</w:t>
      </w:r>
      <w:r w:rsidRPr="00185C11">
        <w:rPr>
          <w:rtl/>
        </w:rPr>
        <w:t xml:space="preserve"> </w:t>
      </w:r>
      <w:r>
        <w:rPr>
          <w:rFonts w:hint="cs"/>
          <w:rtl/>
        </w:rPr>
        <w:t>נותרה יותר</w:t>
      </w:r>
      <w:r w:rsidRPr="00185C11">
        <w:rPr>
          <w:rtl/>
        </w:rPr>
        <w:t xml:space="preserve"> </w:t>
      </w:r>
      <w:r w:rsidRPr="00185C11">
        <w:rPr>
          <w:rFonts w:hint="eastAsia"/>
          <w:rtl/>
        </w:rPr>
        <w:t>מאפשרות</w:t>
      </w:r>
      <w:r w:rsidRPr="00185C11">
        <w:rPr>
          <w:rtl/>
        </w:rPr>
        <w:t xml:space="preserve"> </w:t>
      </w:r>
      <w:r w:rsidRPr="00185C11">
        <w:rPr>
          <w:rFonts w:hint="eastAsia"/>
          <w:rtl/>
        </w:rPr>
        <w:t>אחת</w:t>
      </w:r>
      <w:r w:rsidRPr="00185C11">
        <w:rPr>
          <w:rtl/>
        </w:rPr>
        <w:t xml:space="preserve">, </w:t>
      </w:r>
      <w:r>
        <w:rPr>
          <w:rFonts w:hint="cs"/>
          <w:rtl/>
        </w:rPr>
        <w:t>יש</w:t>
      </w:r>
      <w:r w:rsidRPr="00185C11">
        <w:rPr>
          <w:rtl/>
        </w:rPr>
        <w:t xml:space="preserve"> </w:t>
      </w:r>
      <w:r w:rsidRPr="00185C11">
        <w:rPr>
          <w:rFonts w:hint="eastAsia"/>
          <w:rtl/>
        </w:rPr>
        <w:t>לבחור</w:t>
      </w:r>
      <w:r w:rsidRPr="00185C11">
        <w:rPr>
          <w:rtl/>
        </w:rPr>
        <w:t xml:space="preserve"> </w:t>
      </w:r>
      <w:r w:rsidRPr="00185C11">
        <w:rPr>
          <w:rFonts w:hint="eastAsia"/>
          <w:rtl/>
        </w:rPr>
        <w:t>מבין</w:t>
      </w:r>
      <w:r w:rsidRPr="00185C11">
        <w:rPr>
          <w:rtl/>
        </w:rPr>
        <w:t xml:space="preserve"> </w:t>
      </w:r>
      <w:r w:rsidRPr="00185C11">
        <w:rPr>
          <w:rFonts w:hint="eastAsia"/>
          <w:rtl/>
        </w:rPr>
        <w:t>החלופות</w:t>
      </w:r>
      <w:r w:rsidRPr="00185C11">
        <w:rPr>
          <w:rtl/>
        </w:rPr>
        <w:t xml:space="preserve"> </w:t>
      </w:r>
      <w:r w:rsidRPr="00185C11">
        <w:rPr>
          <w:rFonts w:hint="eastAsia"/>
          <w:rtl/>
        </w:rPr>
        <w:t>הקיימות</w:t>
      </w:r>
      <w:r w:rsidRPr="00185C11">
        <w:rPr>
          <w:rtl/>
        </w:rPr>
        <w:t xml:space="preserve"> </w:t>
      </w:r>
      <w:r w:rsidRPr="00185C11">
        <w:rPr>
          <w:rFonts w:hint="eastAsia"/>
          <w:rtl/>
        </w:rPr>
        <w:t>את</w:t>
      </w:r>
      <w:r w:rsidRPr="00185C11">
        <w:rPr>
          <w:rtl/>
        </w:rPr>
        <w:t xml:space="preserve"> </w:t>
      </w:r>
      <w:r w:rsidRPr="00185C11">
        <w:rPr>
          <w:rFonts w:hint="eastAsia"/>
          <w:rtl/>
        </w:rPr>
        <w:t>האפשרות</w:t>
      </w:r>
      <w:r w:rsidRPr="00185C11">
        <w:rPr>
          <w:rtl/>
        </w:rPr>
        <w:t xml:space="preserve"> </w:t>
      </w:r>
      <w:r w:rsidRPr="00185C11">
        <w:rPr>
          <w:rFonts w:hint="eastAsia"/>
          <w:rtl/>
        </w:rPr>
        <w:t>שמגשימה</w:t>
      </w:r>
      <w:r w:rsidRPr="00185C11">
        <w:rPr>
          <w:rtl/>
        </w:rPr>
        <w:t xml:space="preserve"> </w:t>
      </w:r>
      <w:r w:rsidRPr="00185C11">
        <w:rPr>
          <w:rFonts w:hint="eastAsia"/>
          <w:rtl/>
        </w:rPr>
        <w:t>באופן</w:t>
      </w:r>
      <w:r w:rsidRPr="00185C11">
        <w:rPr>
          <w:rtl/>
        </w:rPr>
        <w:t xml:space="preserve"> </w:t>
      </w:r>
      <w:r w:rsidRPr="00185C11">
        <w:rPr>
          <w:rFonts w:hint="eastAsia"/>
          <w:rtl/>
        </w:rPr>
        <w:t>מיטבי</w:t>
      </w:r>
      <w:r w:rsidRPr="00185C11">
        <w:rPr>
          <w:rtl/>
        </w:rPr>
        <w:t xml:space="preserve"> </w:t>
      </w:r>
      <w:r w:rsidRPr="00185C11">
        <w:rPr>
          <w:rFonts w:hint="eastAsia"/>
          <w:rtl/>
        </w:rPr>
        <w:t>את</w:t>
      </w:r>
      <w:r w:rsidRPr="00185C11">
        <w:rPr>
          <w:rtl/>
        </w:rPr>
        <w:t xml:space="preserve"> </w:t>
      </w:r>
      <w:r w:rsidRPr="00185C11">
        <w:rPr>
          <w:rFonts w:hint="eastAsia"/>
          <w:rtl/>
        </w:rPr>
        <w:t>תכלית</w:t>
      </w:r>
      <w:r w:rsidRPr="00185C11">
        <w:rPr>
          <w:rtl/>
        </w:rPr>
        <w:t xml:space="preserve"> </w:t>
      </w:r>
      <w:r w:rsidRPr="00185C11">
        <w:rPr>
          <w:rFonts w:hint="eastAsia"/>
          <w:rtl/>
        </w:rPr>
        <w:t>החוק</w:t>
      </w:r>
      <w:r>
        <w:rPr>
          <w:rFonts w:hint="cs"/>
          <w:rtl/>
        </w:rPr>
        <w:t xml:space="preserve"> (</w:t>
      </w:r>
      <w:r w:rsidRPr="00F523D3">
        <w:rPr>
          <w:rFonts w:hint="eastAsia"/>
          <w:rtl/>
        </w:rPr>
        <w:t>בג</w:t>
      </w:r>
      <w:r w:rsidRPr="00F523D3">
        <w:rPr>
          <w:rtl/>
        </w:rPr>
        <w:t>"</w:t>
      </w:r>
      <w:r w:rsidRPr="00F523D3">
        <w:rPr>
          <w:rFonts w:hint="eastAsia"/>
          <w:rtl/>
        </w:rPr>
        <w:t>ץ</w:t>
      </w:r>
      <w:r w:rsidRPr="00F523D3">
        <w:rPr>
          <w:rtl/>
        </w:rPr>
        <w:t xml:space="preserve"> 5119</w:t>
      </w:r>
      <w:r>
        <w:rPr>
          <w:rFonts w:hint="cs"/>
          <w:rtl/>
        </w:rPr>
        <w:t>/</w:t>
      </w:r>
      <w:r w:rsidRPr="00F523D3">
        <w:rPr>
          <w:rtl/>
        </w:rPr>
        <w:t xml:space="preserve">23 </w:t>
      </w:r>
      <w:r w:rsidRPr="00F523D3">
        <w:rPr>
          <w:rFonts w:ascii="Century" w:hAnsi="Century" w:cs="Miriam" w:hint="eastAsia"/>
          <w:b/>
          <w:spacing w:val="0"/>
          <w:sz w:val="22"/>
          <w:szCs w:val="24"/>
          <w:rtl/>
        </w:rPr>
        <w:t>התנועה</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לטוהר</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המידות</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נ</w:t>
      </w:r>
      <w:r w:rsidRPr="00F523D3">
        <w:rPr>
          <w:rFonts w:ascii="Century" w:hAnsi="Century" w:cs="Miriam"/>
          <w:b/>
          <w:spacing w:val="0"/>
          <w:sz w:val="22"/>
          <w:szCs w:val="24"/>
          <w:rtl/>
        </w:rPr>
        <w:t xml:space="preserve">' </w:t>
      </w:r>
      <w:r w:rsidRPr="00F523D3">
        <w:rPr>
          <w:rFonts w:ascii="Century" w:hAnsi="Century" w:cs="Miriam" w:hint="eastAsia"/>
          <w:b/>
          <w:spacing w:val="0"/>
          <w:sz w:val="22"/>
          <w:szCs w:val="24"/>
          <w:rtl/>
        </w:rPr>
        <w:t>הכנסת</w:t>
      </w:r>
      <w:r>
        <w:rPr>
          <w:rFonts w:hint="cs"/>
          <w:rtl/>
        </w:rPr>
        <w:t xml:space="preserve">, פסקה 35 (26.10.2023); </w:t>
      </w:r>
      <w:r w:rsidRPr="006B46F6">
        <w:rPr>
          <w:rFonts w:hint="eastAsia"/>
          <w:rtl/>
        </w:rPr>
        <w:t>בג</w:t>
      </w:r>
      <w:r w:rsidRPr="006B46F6">
        <w:rPr>
          <w:rtl/>
        </w:rPr>
        <w:t>"</w:t>
      </w:r>
      <w:r w:rsidRPr="006B46F6">
        <w:rPr>
          <w:rFonts w:hint="eastAsia"/>
          <w:rtl/>
        </w:rPr>
        <w:t>ץ</w:t>
      </w:r>
      <w:r w:rsidRPr="006B46F6">
        <w:rPr>
          <w:rtl/>
        </w:rPr>
        <w:t xml:space="preserve"> 6637/16 </w:t>
      </w:r>
      <w:proofErr w:type="spellStart"/>
      <w:r w:rsidRPr="006B46F6">
        <w:rPr>
          <w:rFonts w:ascii="Century" w:hAnsi="Century" w:cs="Miriam" w:hint="eastAsia"/>
          <w:b/>
          <w:spacing w:val="0"/>
          <w:sz w:val="22"/>
          <w:szCs w:val="24"/>
          <w:rtl/>
        </w:rPr>
        <w:t>לוונשטיין</w:t>
      </w:r>
      <w:proofErr w:type="spellEnd"/>
      <w:r w:rsidRPr="006B46F6">
        <w:rPr>
          <w:rFonts w:ascii="Century" w:hAnsi="Century" w:cs="Miriam"/>
          <w:b/>
          <w:spacing w:val="0"/>
          <w:sz w:val="22"/>
          <w:szCs w:val="24"/>
          <w:rtl/>
        </w:rPr>
        <w:t>-</w:t>
      </w:r>
      <w:r w:rsidRPr="006B46F6">
        <w:rPr>
          <w:rFonts w:ascii="Century" w:hAnsi="Century" w:cs="Miriam" w:hint="eastAsia"/>
          <w:b/>
          <w:spacing w:val="0"/>
          <w:sz w:val="22"/>
          <w:szCs w:val="24"/>
          <w:rtl/>
        </w:rPr>
        <w:t>לוי</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נ</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מדינת</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ישראל</w:t>
      </w:r>
      <w:r w:rsidRPr="006B46F6">
        <w:rPr>
          <w:rtl/>
        </w:rPr>
        <w:t xml:space="preserve">, </w:t>
      </w:r>
      <w:r w:rsidRPr="006B46F6">
        <w:rPr>
          <w:rFonts w:hint="eastAsia"/>
          <w:rtl/>
        </w:rPr>
        <w:t>פסקה</w:t>
      </w:r>
      <w:r w:rsidRPr="006B46F6">
        <w:rPr>
          <w:rtl/>
        </w:rPr>
        <w:t xml:space="preserve"> 17 </w:t>
      </w:r>
      <w:r w:rsidRPr="006B46F6">
        <w:rPr>
          <w:rFonts w:hint="eastAsia"/>
          <w:rtl/>
        </w:rPr>
        <w:t>ל</w:t>
      </w:r>
      <w:r>
        <w:rPr>
          <w:rFonts w:hint="cs"/>
          <w:rtl/>
        </w:rPr>
        <w:t xml:space="preserve">פסק דיני </w:t>
      </w:r>
      <w:r>
        <w:rPr>
          <w:rtl/>
        </w:rPr>
        <w:t>(18.4.2017)</w:t>
      </w:r>
      <w:r>
        <w:rPr>
          <w:rFonts w:hint="cs"/>
          <w:rtl/>
        </w:rPr>
        <w:t xml:space="preserve"> (להלן: עניין </w:t>
      </w:r>
      <w:proofErr w:type="spellStart"/>
      <w:r w:rsidRPr="006B46F6">
        <w:rPr>
          <w:rFonts w:ascii="Century" w:hAnsi="Century" w:cs="Miriam" w:hint="eastAsia"/>
          <w:b/>
          <w:spacing w:val="0"/>
          <w:sz w:val="22"/>
          <w:szCs w:val="24"/>
          <w:rtl/>
        </w:rPr>
        <w:t>לוונשטיין</w:t>
      </w:r>
      <w:proofErr w:type="spellEnd"/>
      <w:r w:rsidRPr="006B46F6">
        <w:rPr>
          <w:rFonts w:ascii="Century" w:hAnsi="Century" w:cs="Miriam"/>
          <w:b/>
          <w:spacing w:val="0"/>
          <w:sz w:val="22"/>
          <w:szCs w:val="24"/>
          <w:rtl/>
        </w:rPr>
        <w:t>-</w:t>
      </w:r>
      <w:r w:rsidRPr="006B46F6">
        <w:rPr>
          <w:rFonts w:ascii="Century" w:hAnsi="Century" w:cs="Miriam" w:hint="eastAsia"/>
          <w:b/>
          <w:spacing w:val="0"/>
          <w:sz w:val="22"/>
          <w:szCs w:val="24"/>
          <w:rtl/>
        </w:rPr>
        <w:t>לוי</w:t>
      </w:r>
      <w:r w:rsidRPr="00446FC8">
        <w:rPr>
          <w:rFonts w:ascii="Century" w:hAnsi="Century" w:hint="cs"/>
          <w:sz w:val="22"/>
          <w:rtl/>
        </w:rPr>
        <w:t>)</w:t>
      </w:r>
      <w:r w:rsidRPr="006B46F6">
        <w:rPr>
          <w:rtl/>
        </w:rPr>
        <w:t xml:space="preserve">; </w:t>
      </w:r>
      <w:r w:rsidRPr="006B46F6">
        <w:rPr>
          <w:rFonts w:hint="eastAsia"/>
          <w:rtl/>
        </w:rPr>
        <w:t>רע</w:t>
      </w:r>
      <w:r w:rsidRPr="006B46F6">
        <w:rPr>
          <w:rtl/>
        </w:rPr>
        <w:t>"</w:t>
      </w:r>
      <w:r w:rsidRPr="006B46F6">
        <w:rPr>
          <w:rFonts w:hint="eastAsia"/>
          <w:rtl/>
        </w:rPr>
        <w:t>א</w:t>
      </w:r>
      <w:r w:rsidRPr="006B46F6">
        <w:rPr>
          <w:rtl/>
        </w:rPr>
        <w:t xml:space="preserve"> 1431/17 </w:t>
      </w:r>
      <w:r w:rsidRPr="006B46F6">
        <w:rPr>
          <w:rFonts w:ascii="Century" w:hAnsi="Century" w:cs="Miriam" w:hint="eastAsia"/>
          <w:b/>
          <w:spacing w:val="0"/>
          <w:sz w:val="22"/>
          <w:szCs w:val="24"/>
          <w:rtl/>
        </w:rPr>
        <w:t>סלומון</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נ</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הרשות</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לזכויות</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ניצולי</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השואה</w:t>
      </w:r>
      <w:r w:rsidRPr="006B46F6">
        <w:rPr>
          <w:rtl/>
        </w:rPr>
        <w:t xml:space="preserve">, </w:t>
      </w:r>
      <w:r w:rsidRPr="006B46F6">
        <w:rPr>
          <w:rFonts w:hint="eastAsia"/>
          <w:rtl/>
        </w:rPr>
        <w:t>פסקה</w:t>
      </w:r>
      <w:r w:rsidRPr="006B46F6">
        <w:rPr>
          <w:rtl/>
        </w:rPr>
        <w:t xml:space="preserve"> 28 (16.11.2017); </w:t>
      </w:r>
      <w:r w:rsidRPr="006B46F6">
        <w:rPr>
          <w:rFonts w:hint="eastAsia"/>
          <w:rtl/>
        </w:rPr>
        <w:t>ע</w:t>
      </w:r>
      <w:r w:rsidRPr="006B46F6">
        <w:rPr>
          <w:rtl/>
        </w:rPr>
        <w:t>"</w:t>
      </w:r>
      <w:r w:rsidRPr="006B46F6">
        <w:rPr>
          <w:rFonts w:hint="eastAsia"/>
          <w:rtl/>
        </w:rPr>
        <w:t>א</w:t>
      </w:r>
      <w:r w:rsidRPr="006B46F6">
        <w:rPr>
          <w:rtl/>
        </w:rPr>
        <w:t xml:space="preserve"> 8622/07 </w:t>
      </w:r>
      <w:proofErr w:type="spellStart"/>
      <w:r w:rsidRPr="006B46F6">
        <w:rPr>
          <w:rFonts w:ascii="Century" w:hAnsi="Century" w:cs="Miriam" w:hint="eastAsia"/>
          <w:b/>
          <w:spacing w:val="0"/>
          <w:sz w:val="22"/>
          <w:szCs w:val="24"/>
          <w:rtl/>
        </w:rPr>
        <w:t>רוטמן</w:t>
      </w:r>
      <w:proofErr w:type="spellEnd"/>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נ</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מע</w:t>
      </w:r>
      <w:r w:rsidRPr="006B46F6">
        <w:rPr>
          <w:rFonts w:ascii="Century" w:hAnsi="Century" w:cs="Miriam"/>
          <w:b/>
          <w:spacing w:val="0"/>
          <w:sz w:val="22"/>
          <w:szCs w:val="24"/>
          <w:rtl/>
        </w:rPr>
        <w:t>"</w:t>
      </w:r>
      <w:r w:rsidRPr="006B46F6">
        <w:rPr>
          <w:rFonts w:ascii="Century" w:hAnsi="Century" w:cs="Miriam" w:hint="eastAsia"/>
          <w:b/>
          <w:spacing w:val="0"/>
          <w:sz w:val="22"/>
          <w:szCs w:val="24"/>
          <w:rtl/>
        </w:rPr>
        <w:t>צ</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החברה</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הלאומית</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לדרכים</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בישראל</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בע</w:t>
      </w:r>
      <w:r w:rsidRPr="006B46F6">
        <w:rPr>
          <w:rFonts w:ascii="Century" w:hAnsi="Century" w:cs="Miriam"/>
          <w:b/>
          <w:spacing w:val="0"/>
          <w:sz w:val="22"/>
          <w:szCs w:val="24"/>
          <w:rtl/>
        </w:rPr>
        <w:t>"</w:t>
      </w:r>
      <w:r w:rsidRPr="006B46F6">
        <w:rPr>
          <w:rFonts w:ascii="Century" w:hAnsi="Century" w:cs="Miriam" w:hint="eastAsia"/>
          <w:b/>
          <w:spacing w:val="0"/>
          <w:sz w:val="22"/>
          <w:szCs w:val="24"/>
          <w:rtl/>
        </w:rPr>
        <w:t>מ</w:t>
      </w:r>
      <w:r w:rsidRPr="006B46F6">
        <w:rPr>
          <w:rtl/>
        </w:rPr>
        <w:t xml:space="preserve">, </w:t>
      </w:r>
      <w:r w:rsidRPr="006B46F6">
        <w:rPr>
          <w:rFonts w:hint="eastAsia"/>
          <w:rtl/>
        </w:rPr>
        <w:t>פסקה</w:t>
      </w:r>
      <w:r w:rsidRPr="006B46F6">
        <w:rPr>
          <w:rtl/>
        </w:rPr>
        <w:t xml:space="preserve"> 34 (14.5.2012); </w:t>
      </w:r>
      <w:r w:rsidRPr="006B46F6">
        <w:rPr>
          <w:rFonts w:hint="eastAsia"/>
          <w:rtl/>
        </w:rPr>
        <w:t>ע</w:t>
      </w:r>
      <w:r w:rsidRPr="006B46F6">
        <w:rPr>
          <w:rtl/>
        </w:rPr>
        <w:t>"</w:t>
      </w:r>
      <w:r w:rsidRPr="006B46F6">
        <w:rPr>
          <w:rFonts w:hint="eastAsia"/>
          <w:rtl/>
        </w:rPr>
        <w:t>א</w:t>
      </w:r>
      <w:r w:rsidRPr="006B46F6">
        <w:rPr>
          <w:rtl/>
        </w:rPr>
        <w:t xml:space="preserve"> 8863/07 </w:t>
      </w:r>
      <w:proofErr w:type="spellStart"/>
      <w:r w:rsidRPr="006B46F6">
        <w:rPr>
          <w:rFonts w:ascii="Century" w:hAnsi="Century" w:cs="Miriam" w:hint="eastAsia"/>
          <w:b/>
          <w:spacing w:val="0"/>
          <w:sz w:val="22"/>
          <w:szCs w:val="24"/>
          <w:rtl/>
        </w:rPr>
        <w:t>ב</w:t>
      </w:r>
      <w:r w:rsidRPr="006B46F6">
        <w:rPr>
          <w:rFonts w:ascii="Century" w:hAnsi="Century" w:cs="Miriam"/>
          <w:b/>
          <w:spacing w:val="0"/>
          <w:sz w:val="22"/>
          <w:szCs w:val="24"/>
          <w:rtl/>
        </w:rPr>
        <w:t>.</w:t>
      </w:r>
      <w:r w:rsidRPr="006B46F6">
        <w:rPr>
          <w:rFonts w:ascii="Century" w:hAnsi="Century" w:cs="Miriam" w:hint="eastAsia"/>
          <w:b/>
          <w:spacing w:val="0"/>
          <w:sz w:val="22"/>
          <w:szCs w:val="24"/>
          <w:rtl/>
        </w:rPr>
        <w:t>מ</w:t>
      </w:r>
      <w:r w:rsidRPr="006B46F6">
        <w:rPr>
          <w:rFonts w:ascii="Century" w:hAnsi="Century" w:cs="Miriam"/>
          <w:b/>
          <w:spacing w:val="0"/>
          <w:sz w:val="22"/>
          <w:szCs w:val="24"/>
          <w:rtl/>
        </w:rPr>
        <w:t>.</w:t>
      </w:r>
      <w:r w:rsidRPr="006B46F6">
        <w:rPr>
          <w:rFonts w:ascii="Century" w:hAnsi="Century" w:cs="Miriam" w:hint="eastAsia"/>
          <w:b/>
          <w:spacing w:val="0"/>
          <w:sz w:val="22"/>
          <w:szCs w:val="24"/>
          <w:rtl/>
        </w:rPr>
        <w:t>כפריס</w:t>
      </w:r>
      <w:proofErr w:type="spellEnd"/>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דדו</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בע</w:t>
      </w:r>
      <w:r w:rsidRPr="006B46F6">
        <w:rPr>
          <w:rFonts w:ascii="Century" w:hAnsi="Century" w:cs="Miriam"/>
          <w:b/>
          <w:spacing w:val="0"/>
          <w:sz w:val="22"/>
          <w:szCs w:val="24"/>
          <w:rtl/>
        </w:rPr>
        <w:t>"</w:t>
      </w:r>
      <w:r w:rsidRPr="006B46F6">
        <w:rPr>
          <w:rFonts w:ascii="Century" w:hAnsi="Century" w:cs="Miriam" w:hint="eastAsia"/>
          <w:b/>
          <w:spacing w:val="0"/>
          <w:sz w:val="22"/>
          <w:szCs w:val="24"/>
          <w:rtl/>
        </w:rPr>
        <w:t>מ</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נ</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מנהל</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מע</w:t>
      </w:r>
      <w:r w:rsidRPr="006B46F6">
        <w:rPr>
          <w:rFonts w:ascii="Century" w:hAnsi="Century" w:cs="Miriam"/>
          <w:b/>
          <w:spacing w:val="0"/>
          <w:sz w:val="22"/>
          <w:szCs w:val="24"/>
          <w:rtl/>
        </w:rPr>
        <w:t>"</w:t>
      </w:r>
      <w:r w:rsidRPr="006B46F6">
        <w:rPr>
          <w:rFonts w:ascii="Century" w:hAnsi="Century" w:cs="Miriam" w:hint="eastAsia"/>
          <w:b/>
          <w:spacing w:val="0"/>
          <w:sz w:val="22"/>
          <w:szCs w:val="24"/>
          <w:rtl/>
        </w:rPr>
        <w:t>מ</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חיפה</w:t>
      </w:r>
      <w:r w:rsidRPr="006B46F6">
        <w:rPr>
          <w:rtl/>
        </w:rPr>
        <w:t xml:space="preserve">, </w:t>
      </w:r>
      <w:r w:rsidRPr="006B46F6">
        <w:rPr>
          <w:rFonts w:hint="eastAsia"/>
          <w:rtl/>
        </w:rPr>
        <w:t>פסקה</w:t>
      </w:r>
      <w:r w:rsidRPr="006B46F6">
        <w:rPr>
          <w:rtl/>
        </w:rPr>
        <w:t xml:space="preserve"> 18 (28.3.2010); </w:t>
      </w:r>
      <w:r w:rsidRPr="006B46F6">
        <w:rPr>
          <w:rFonts w:hint="eastAsia"/>
          <w:rtl/>
        </w:rPr>
        <w:t>אהרון</w:t>
      </w:r>
      <w:r w:rsidRPr="006B46F6">
        <w:rPr>
          <w:rtl/>
        </w:rPr>
        <w:t xml:space="preserve"> </w:t>
      </w:r>
      <w:r w:rsidRPr="006B46F6">
        <w:rPr>
          <w:rFonts w:hint="eastAsia"/>
          <w:rtl/>
        </w:rPr>
        <w:t>ברק</w:t>
      </w:r>
      <w:r w:rsidRPr="006B46F6">
        <w:rPr>
          <w:rtl/>
        </w:rPr>
        <w:t xml:space="preserve"> </w:t>
      </w:r>
      <w:r w:rsidRPr="006B46F6">
        <w:rPr>
          <w:rFonts w:ascii="Century" w:hAnsi="Century" w:cs="Miriam" w:hint="eastAsia"/>
          <w:b/>
          <w:spacing w:val="0"/>
          <w:sz w:val="22"/>
          <w:szCs w:val="24"/>
          <w:rtl/>
        </w:rPr>
        <w:t>פרשנות</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במשפט</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כרך</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שני</w:t>
      </w:r>
      <w:r w:rsidRPr="006B46F6">
        <w:rPr>
          <w:rFonts w:ascii="Century" w:hAnsi="Century" w:cs="Miriam"/>
          <w:b/>
          <w:spacing w:val="0"/>
          <w:sz w:val="22"/>
          <w:szCs w:val="24"/>
          <w:rtl/>
        </w:rPr>
        <w:t xml:space="preserve"> – </w:t>
      </w:r>
      <w:r w:rsidRPr="006B46F6">
        <w:rPr>
          <w:rFonts w:ascii="Century" w:hAnsi="Century" w:cs="Miriam" w:hint="eastAsia"/>
          <w:b/>
          <w:spacing w:val="0"/>
          <w:sz w:val="22"/>
          <w:szCs w:val="24"/>
          <w:rtl/>
        </w:rPr>
        <w:t>פרשנות</w:t>
      </w:r>
      <w:r w:rsidRPr="006B46F6">
        <w:rPr>
          <w:rFonts w:ascii="Century" w:hAnsi="Century" w:cs="Miriam"/>
          <w:b/>
          <w:spacing w:val="0"/>
          <w:sz w:val="22"/>
          <w:szCs w:val="24"/>
          <w:rtl/>
        </w:rPr>
        <w:t xml:space="preserve"> </w:t>
      </w:r>
      <w:r w:rsidRPr="006B46F6">
        <w:rPr>
          <w:rFonts w:ascii="Century" w:hAnsi="Century" w:cs="Miriam" w:hint="eastAsia"/>
          <w:b/>
          <w:spacing w:val="0"/>
          <w:sz w:val="22"/>
          <w:szCs w:val="24"/>
          <w:rtl/>
        </w:rPr>
        <w:t>החקיקה</w:t>
      </w:r>
      <w:r w:rsidRPr="006B46F6">
        <w:rPr>
          <w:rtl/>
        </w:rPr>
        <w:t xml:space="preserve"> 81-80, 204-201 (1993) (</w:t>
      </w:r>
      <w:r w:rsidRPr="006B46F6">
        <w:rPr>
          <w:rFonts w:hint="eastAsia"/>
          <w:rtl/>
        </w:rPr>
        <w:t>להלן</w:t>
      </w:r>
      <w:r w:rsidRPr="006B46F6">
        <w:rPr>
          <w:rtl/>
        </w:rPr>
        <w:t xml:space="preserve">: </w:t>
      </w:r>
      <w:r w:rsidRPr="006B46F6">
        <w:rPr>
          <w:rFonts w:ascii="Century" w:hAnsi="Century" w:cs="Miriam" w:hint="eastAsia"/>
          <w:b/>
          <w:spacing w:val="0"/>
          <w:sz w:val="22"/>
          <w:szCs w:val="24"/>
          <w:rtl/>
        </w:rPr>
        <w:t>ברק</w:t>
      </w:r>
      <w:r>
        <w:rPr>
          <w:rFonts w:hint="cs"/>
          <w:rtl/>
        </w:rPr>
        <w:t xml:space="preserve">, </w:t>
      </w:r>
      <w:r w:rsidRPr="00446FC8">
        <w:rPr>
          <w:rFonts w:ascii="Century" w:hAnsi="Century" w:cs="Miriam" w:hint="cs"/>
          <w:b/>
          <w:spacing w:val="0"/>
          <w:sz w:val="22"/>
          <w:szCs w:val="24"/>
          <w:rtl/>
        </w:rPr>
        <w:t>פרשנות החקיקה</w:t>
      </w:r>
      <w:r w:rsidRPr="006B46F6">
        <w:rPr>
          <w:rtl/>
        </w:rPr>
        <w:t>)).</w:t>
      </w:r>
    </w:p>
    <w:p w:rsidR="0046011D" w:rsidRDefault="0046011D" w:rsidP="0046011D">
      <w:pPr>
        <w:pStyle w:val="Ruller4"/>
        <w:numPr>
          <w:ilvl w:val="0"/>
          <w:numId w:val="0"/>
        </w:numPr>
        <w:rPr>
          <w:rtl/>
        </w:rPr>
      </w:pPr>
    </w:p>
    <w:p w:rsidR="0046011D" w:rsidRDefault="0046011D" w:rsidP="0046011D">
      <w:pPr>
        <w:pStyle w:val="Ruller4"/>
        <w:rPr>
          <w:rtl/>
        </w:rPr>
      </w:pPr>
      <w:r>
        <w:rPr>
          <w:rFonts w:hint="cs"/>
          <w:rtl/>
        </w:rPr>
        <w:t xml:space="preserve">תכלית החקיקה מורכבת מתכלית סובייקטיבית ומתכלית אובייקטיבית. התכלית הסובייקטיבית, מתייחסת למטרות, הערכים והמדיניות שביקש המחוקק להגשים באמצעות החקיקה. כפי </w:t>
      </w:r>
      <w:r w:rsidRPr="00587889">
        <w:rPr>
          <w:rFonts w:hint="cs"/>
          <w:rtl/>
        </w:rPr>
        <w:t>שנקבע לא אחת, אין מדובר בכוונה משוערת, אלא במטרות שעמדו לנגד עיניו של המחוקק שעה שחוקק את הוראת החוק (</w:t>
      </w:r>
      <w:proofErr w:type="spellStart"/>
      <w:r w:rsidRPr="00587889">
        <w:rPr>
          <w:rFonts w:hint="eastAsia"/>
          <w:rtl/>
        </w:rPr>
        <w:t>בר</w:t>
      </w:r>
      <w:r w:rsidRPr="00587889">
        <w:rPr>
          <w:rtl/>
        </w:rPr>
        <w:t>"</w:t>
      </w:r>
      <w:r w:rsidRPr="00587889">
        <w:rPr>
          <w:rFonts w:hint="eastAsia"/>
          <w:rtl/>
        </w:rPr>
        <w:t>ם</w:t>
      </w:r>
      <w:proofErr w:type="spellEnd"/>
      <w:r w:rsidRPr="00587889">
        <w:rPr>
          <w:rtl/>
        </w:rPr>
        <w:t xml:space="preserve"> 8668/17 </w:t>
      </w:r>
      <w:r w:rsidRPr="00587889">
        <w:rPr>
          <w:rFonts w:ascii="Century" w:hAnsi="Century" w:cs="Miriam" w:hint="eastAsia"/>
          <w:b/>
          <w:spacing w:val="0"/>
          <w:sz w:val="22"/>
          <w:szCs w:val="24"/>
          <w:rtl/>
        </w:rPr>
        <w:t>רביד</w:t>
      </w:r>
      <w:r w:rsidRPr="00587889">
        <w:rPr>
          <w:rFonts w:ascii="Century" w:hAnsi="Century" w:cs="Miriam"/>
          <w:b/>
          <w:spacing w:val="0"/>
          <w:sz w:val="22"/>
          <w:szCs w:val="24"/>
          <w:rtl/>
        </w:rPr>
        <w:t xml:space="preserve"> </w:t>
      </w:r>
      <w:r w:rsidRPr="00587889">
        <w:rPr>
          <w:rFonts w:ascii="Century" w:hAnsi="Century" w:cs="Miriam" w:hint="eastAsia"/>
          <w:b/>
          <w:spacing w:val="0"/>
          <w:sz w:val="22"/>
          <w:szCs w:val="24"/>
          <w:rtl/>
        </w:rPr>
        <w:t>נ</w:t>
      </w:r>
      <w:r w:rsidRPr="00587889">
        <w:rPr>
          <w:rFonts w:ascii="Century" w:hAnsi="Century" w:cs="Miriam"/>
          <w:b/>
          <w:spacing w:val="0"/>
          <w:sz w:val="22"/>
          <w:szCs w:val="24"/>
          <w:rtl/>
        </w:rPr>
        <w:t xml:space="preserve">' </w:t>
      </w:r>
      <w:r w:rsidRPr="00587889">
        <w:rPr>
          <w:rFonts w:ascii="Century" w:hAnsi="Century" w:cs="Miriam" w:hint="eastAsia"/>
          <w:b/>
          <w:spacing w:val="0"/>
          <w:sz w:val="22"/>
          <w:szCs w:val="24"/>
          <w:rtl/>
        </w:rPr>
        <w:t>רשות</w:t>
      </w:r>
      <w:r w:rsidRPr="00587889">
        <w:rPr>
          <w:rFonts w:ascii="Century" w:hAnsi="Century" w:cs="Miriam"/>
          <w:b/>
          <w:spacing w:val="0"/>
          <w:sz w:val="22"/>
          <w:szCs w:val="24"/>
          <w:rtl/>
        </w:rPr>
        <w:t xml:space="preserve"> </w:t>
      </w:r>
      <w:r w:rsidRPr="00587889">
        <w:rPr>
          <w:rFonts w:ascii="Century" w:hAnsi="Century" w:cs="Miriam" w:hint="eastAsia"/>
          <w:b/>
          <w:spacing w:val="0"/>
          <w:sz w:val="22"/>
          <w:szCs w:val="24"/>
          <w:rtl/>
        </w:rPr>
        <w:t>האוכלוסין</w:t>
      </w:r>
      <w:r w:rsidRPr="00587889">
        <w:rPr>
          <w:rFonts w:ascii="Century" w:hAnsi="Century" w:cs="Miriam"/>
          <w:b/>
          <w:spacing w:val="0"/>
          <w:sz w:val="22"/>
          <w:szCs w:val="24"/>
          <w:rtl/>
        </w:rPr>
        <w:t xml:space="preserve"> </w:t>
      </w:r>
      <w:r w:rsidRPr="00587889">
        <w:rPr>
          <w:rFonts w:ascii="Century" w:hAnsi="Century" w:cs="Miriam" w:hint="eastAsia"/>
          <w:b/>
          <w:spacing w:val="0"/>
          <w:sz w:val="22"/>
          <w:szCs w:val="24"/>
          <w:rtl/>
        </w:rPr>
        <w:t>וההגירה</w:t>
      </w:r>
      <w:r w:rsidRPr="00587889">
        <w:rPr>
          <w:rtl/>
        </w:rPr>
        <w:t xml:space="preserve">, </w:t>
      </w:r>
      <w:r w:rsidRPr="00587889">
        <w:rPr>
          <w:rFonts w:hint="eastAsia"/>
          <w:rtl/>
        </w:rPr>
        <w:t>פסקה</w:t>
      </w:r>
      <w:r w:rsidRPr="00587889">
        <w:rPr>
          <w:rtl/>
        </w:rPr>
        <w:t xml:space="preserve"> </w:t>
      </w:r>
      <w:r w:rsidRPr="00587889">
        <w:rPr>
          <w:rFonts w:hint="cs"/>
          <w:rtl/>
        </w:rPr>
        <w:t>15</w:t>
      </w:r>
      <w:r w:rsidRPr="00587889">
        <w:rPr>
          <w:rtl/>
        </w:rPr>
        <w:t xml:space="preserve"> (31.10.2019)</w:t>
      </w:r>
      <w:r w:rsidRPr="00587889">
        <w:rPr>
          <w:rFonts w:hint="cs"/>
          <w:rtl/>
        </w:rPr>
        <w:t>;</w:t>
      </w:r>
      <w:r w:rsidRPr="00587889">
        <w:rPr>
          <w:rtl/>
        </w:rPr>
        <w:t xml:space="preserve"> </w:t>
      </w:r>
      <w:r w:rsidRPr="00587889">
        <w:rPr>
          <w:rFonts w:hint="eastAsia"/>
          <w:rtl/>
        </w:rPr>
        <w:t>עניין</w:t>
      </w:r>
      <w:r w:rsidRPr="00587889">
        <w:rPr>
          <w:rtl/>
        </w:rPr>
        <w:t xml:space="preserve"> </w:t>
      </w:r>
      <w:proofErr w:type="spellStart"/>
      <w:r w:rsidRPr="00587889">
        <w:rPr>
          <w:rFonts w:ascii="Century" w:hAnsi="Century" w:cs="Miriam" w:hint="eastAsia"/>
          <w:b/>
          <w:spacing w:val="0"/>
          <w:sz w:val="22"/>
          <w:szCs w:val="24"/>
          <w:rtl/>
        </w:rPr>
        <w:t>לוונשטיין</w:t>
      </w:r>
      <w:proofErr w:type="spellEnd"/>
      <w:r w:rsidRPr="00587889">
        <w:rPr>
          <w:rFonts w:ascii="Century" w:hAnsi="Century" w:cs="Miriam"/>
          <w:b/>
          <w:spacing w:val="0"/>
          <w:sz w:val="22"/>
          <w:szCs w:val="24"/>
          <w:rtl/>
        </w:rPr>
        <w:t>-</w:t>
      </w:r>
      <w:r w:rsidRPr="00587889">
        <w:rPr>
          <w:rFonts w:ascii="Century" w:hAnsi="Century" w:cs="Miriam" w:hint="eastAsia"/>
          <w:b/>
          <w:spacing w:val="0"/>
          <w:sz w:val="22"/>
          <w:szCs w:val="24"/>
          <w:rtl/>
        </w:rPr>
        <w:t>לוי</w:t>
      </w:r>
      <w:r w:rsidRPr="00587889">
        <w:rPr>
          <w:rtl/>
        </w:rPr>
        <w:t xml:space="preserve">, </w:t>
      </w:r>
      <w:r w:rsidRPr="00587889">
        <w:rPr>
          <w:rFonts w:hint="eastAsia"/>
          <w:rtl/>
        </w:rPr>
        <w:t>פסקה</w:t>
      </w:r>
      <w:r w:rsidRPr="00587889">
        <w:rPr>
          <w:rtl/>
        </w:rPr>
        <w:t xml:space="preserve"> 18</w:t>
      </w:r>
      <w:r w:rsidRPr="00587889">
        <w:rPr>
          <w:rFonts w:hint="cs"/>
          <w:rtl/>
        </w:rPr>
        <w:t xml:space="preserve">; </w:t>
      </w:r>
      <w:r w:rsidRPr="00587889">
        <w:rPr>
          <w:rFonts w:hint="eastAsia"/>
          <w:rtl/>
        </w:rPr>
        <w:t>אהרן</w:t>
      </w:r>
      <w:r w:rsidRPr="00587889">
        <w:rPr>
          <w:rtl/>
        </w:rPr>
        <w:t xml:space="preserve"> </w:t>
      </w:r>
      <w:r w:rsidRPr="00587889">
        <w:rPr>
          <w:rFonts w:hint="eastAsia"/>
          <w:rtl/>
        </w:rPr>
        <w:t>ברק</w:t>
      </w:r>
      <w:r w:rsidRPr="00587889">
        <w:rPr>
          <w:rtl/>
        </w:rPr>
        <w:t xml:space="preserve"> </w:t>
      </w:r>
      <w:r w:rsidRPr="00587889">
        <w:rPr>
          <w:rFonts w:ascii="Century" w:hAnsi="Century" w:cs="Miriam" w:hint="eastAsia"/>
          <w:b/>
          <w:spacing w:val="0"/>
          <w:sz w:val="22"/>
          <w:szCs w:val="24"/>
          <w:rtl/>
        </w:rPr>
        <w:t>פרשנות</w:t>
      </w:r>
      <w:r w:rsidRPr="00587889">
        <w:rPr>
          <w:rFonts w:ascii="Century" w:hAnsi="Century" w:cs="Miriam"/>
          <w:b/>
          <w:spacing w:val="0"/>
          <w:sz w:val="22"/>
          <w:szCs w:val="24"/>
          <w:rtl/>
        </w:rPr>
        <w:t xml:space="preserve"> </w:t>
      </w:r>
      <w:r w:rsidRPr="00587889">
        <w:rPr>
          <w:rFonts w:ascii="Century" w:hAnsi="Century" w:cs="Miriam" w:hint="eastAsia"/>
          <w:b/>
          <w:spacing w:val="0"/>
          <w:sz w:val="22"/>
          <w:szCs w:val="24"/>
          <w:rtl/>
        </w:rPr>
        <w:t>תכליתית</w:t>
      </w:r>
      <w:r w:rsidRPr="00587889">
        <w:rPr>
          <w:rFonts w:ascii="Century" w:hAnsi="Century" w:cs="Miriam"/>
          <w:b/>
          <w:spacing w:val="0"/>
          <w:sz w:val="22"/>
          <w:szCs w:val="24"/>
          <w:rtl/>
        </w:rPr>
        <w:t xml:space="preserve"> </w:t>
      </w:r>
      <w:r w:rsidRPr="00587889">
        <w:rPr>
          <w:rFonts w:ascii="Century" w:hAnsi="Century" w:cs="Miriam" w:hint="eastAsia"/>
          <w:b/>
          <w:spacing w:val="0"/>
          <w:sz w:val="22"/>
          <w:szCs w:val="24"/>
          <w:rtl/>
        </w:rPr>
        <w:t>במשפט</w:t>
      </w:r>
      <w:r w:rsidRPr="00587889">
        <w:rPr>
          <w:rtl/>
        </w:rPr>
        <w:t xml:space="preserve"> 400 (2003) (</w:t>
      </w:r>
      <w:r w:rsidRPr="00587889">
        <w:rPr>
          <w:rFonts w:hint="eastAsia"/>
          <w:rtl/>
        </w:rPr>
        <w:t>להלן</w:t>
      </w:r>
      <w:r w:rsidRPr="00587889">
        <w:rPr>
          <w:rtl/>
        </w:rPr>
        <w:t xml:space="preserve">: </w:t>
      </w:r>
      <w:r w:rsidRPr="00587889">
        <w:rPr>
          <w:rFonts w:ascii="Century" w:hAnsi="Century" w:cs="Miriam" w:hint="eastAsia"/>
          <w:b/>
          <w:spacing w:val="0"/>
          <w:sz w:val="22"/>
          <w:szCs w:val="24"/>
          <w:rtl/>
        </w:rPr>
        <w:t>ברק</w:t>
      </w:r>
      <w:r w:rsidRPr="00587889">
        <w:rPr>
          <w:rFonts w:ascii="Century" w:hAnsi="Century" w:cs="Miriam"/>
          <w:b/>
          <w:spacing w:val="0"/>
          <w:sz w:val="22"/>
          <w:szCs w:val="24"/>
          <w:rtl/>
        </w:rPr>
        <w:t xml:space="preserve">, </w:t>
      </w:r>
      <w:r w:rsidRPr="002E004A">
        <w:rPr>
          <w:rFonts w:ascii="Century" w:hAnsi="Century" w:cs="Miriam" w:hint="eastAsia"/>
          <w:b/>
          <w:spacing w:val="0"/>
          <w:sz w:val="22"/>
          <w:szCs w:val="24"/>
          <w:rtl/>
        </w:rPr>
        <w:t>פרשנות</w:t>
      </w:r>
      <w:r w:rsidRPr="002E004A">
        <w:rPr>
          <w:rFonts w:ascii="Century" w:hAnsi="Century" w:cs="Miriam"/>
          <w:b/>
          <w:spacing w:val="0"/>
          <w:sz w:val="22"/>
          <w:szCs w:val="24"/>
          <w:rtl/>
        </w:rPr>
        <w:t xml:space="preserve"> </w:t>
      </w:r>
      <w:r w:rsidRPr="002E004A">
        <w:rPr>
          <w:rFonts w:ascii="Century" w:hAnsi="Century" w:cs="Miriam" w:hint="eastAsia"/>
          <w:b/>
          <w:spacing w:val="0"/>
          <w:sz w:val="22"/>
          <w:szCs w:val="24"/>
          <w:rtl/>
        </w:rPr>
        <w:t>תכליתית</w:t>
      </w:r>
      <w:r w:rsidRPr="002E004A">
        <w:rPr>
          <w:rFonts w:hint="cs"/>
          <w:rtl/>
        </w:rPr>
        <w:t>)).</w:t>
      </w:r>
      <w:r w:rsidRPr="00587889">
        <w:rPr>
          <w:rtl/>
        </w:rPr>
        <w:t xml:space="preserve"> </w:t>
      </w:r>
      <w:r w:rsidRPr="00587889">
        <w:rPr>
          <w:rFonts w:hint="cs"/>
          <w:rtl/>
        </w:rPr>
        <w:t>תכלית זו</w:t>
      </w:r>
      <w:r w:rsidRPr="00587889">
        <w:rPr>
          <w:rtl/>
        </w:rPr>
        <w:t xml:space="preserve"> </w:t>
      </w:r>
      <w:r>
        <w:rPr>
          <w:rFonts w:hint="cs"/>
          <w:rtl/>
        </w:rPr>
        <w:t>נ</w:t>
      </w:r>
      <w:r w:rsidRPr="00587889">
        <w:rPr>
          <w:rFonts w:hint="eastAsia"/>
          <w:rtl/>
        </w:rPr>
        <w:t>למדת</w:t>
      </w:r>
      <w:r w:rsidRPr="00587889">
        <w:rPr>
          <w:rtl/>
        </w:rPr>
        <w:t xml:space="preserve"> </w:t>
      </w:r>
      <w:r>
        <w:rPr>
          <w:rFonts w:hint="cs"/>
          <w:rtl/>
        </w:rPr>
        <w:t>מ</w:t>
      </w:r>
      <w:r w:rsidRPr="00587889">
        <w:rPr>
          <w:rFonts w:hint="eastAsia"/>
          <w:rtl/>
        </w:rPr>
        <w:t>ההיסטוריה</w:t>
      </w:r>
      <w:r w:rsidRPr="00587889">
        <w:rPr>
          <w:rtl/>
        </w:rPr>
        <w:t xml:space="preserve"> </w:t>
      </w:r>
      <w:r w:rsidRPr="00587889">
        <w:rPr>
          <w:rFonts w:hint="eastAsia"/>
          <w:rtl/>
        </w:rPr>
        <w:t>החקיקתית</w:t>
      </w:r>
      <w:r w:rsidRPr="00587889">
        <w:rPr>
          <w:rtl/>
        </w:rPr>
        <w:t xml:space="preserve"> </w:t>
      </w:r>
      <w:r w:rsidRPr="00587889">
        <w:rPr>
          <w:rFonts w:hint="eastAsia"/>
          <w:rtl/>
        </w:rPr>
        <w:t>כפי</w:t>
      </w:r>
      <w:r w:rsidRPr="00587889">
        <w:rPr>
          <w:rtl/>
        </w:rPr>
        <w:t xml:space="preserve"> </w:t>
      </w:r>
      <w:r w:rsidRPr="00587889">
        <w:rPr>
          <w:rFonts w:hint="cs"/>
          <w:rtl/>
        </w:rPr>
        <w:t>שהיא</w:t>
      </w:r>
      <w:r w:rsidRPr="00587889">
        <w:rPr>
          <w:rtl/>
        </w:rPr>
        <w:t xml:space="preserve"> </w:t>
      </w:r>
      <w:r w:rsidRPr="00587889">
        <w:rPr>
          <w:rFonts w:hint="eastAsia"/>
          <w:rtl/>
        </w:rPr>
        <w:t>באה</w:t>
      </w:r>
      <w:r w:rsidRPr="00587889">
        <w:rPr>
          <w:rtl/>
        </w:rPr>
        <w:t xml:space="preserve"> </w:t>
      </w:r>
      <w:r w:rsidRPr="00587889">
        <w:rPr>
          <w:rFonts w:hint="eastAsia"/>
          <w:rtl/>
        </w:rPr>
        <w:t>לידי</w:t>
      </w:r>
      <w:r w:rsidRPr="00587889">
        <w:rPr>
          <w:rtl/>
        </w:rPr>
        <w:t xml:space="preserve"> </w:t>
      </w:r>
      <w:r w:rsidRPr="00587889">
        <w:rPr>
          <w:rFonts w:hint="eastAsia"/>
          <w:rtl/>
        </w:rPr>
        <w:t>ביטוי</w:t>
      </w:r>
      <w:r w:rsidRPr="00587889">
        <w:rPr>
          <w:rtl/>
        </w:rPr>
        <w:t xml:space="preserve">, </w:t>
      </w:r>
      <w:r w:rsidRPr="00E279B5">
        <w:rPr>
          <w:rFonts w:hint="eastAsia"/>
          <w:rtl/>
        </w:rPr>
        <w:t>בדברי</w:t>
      </w:r>
      <w:r w:rsidRPr="00E279B5">
        <w:rPr>
          <w:rtl/>
        </w:rPr>
        <w:t xml:space="preserve"> </w:t>
      </w:r>
      <w:r w:rsidRPr="00E279B5">
        <w:rPr>
          <w:rFonts w:hint="eastAsia"/>
          <w:rtl/>
        </w:rPr>
        <w:t>ההסבר</w:t>
      </w:r>
      <w:r w:rsidRPr="00E279B5">
        <w:rPr>
          <w:rtl/>
        </w:rPr>
        <w:t xml:space="preserve"> </w:t>
      </w:r>
      <w:r w:rsidRPr="00E279B5">
        <w:rPr>
          <w:rFonts w:hint="eastAsia"/>
          <w:rtl/>
        </w:rPr>
        <w:t>להצעת</w:t>
      </w:r>
      <w:r w:rsidRPr="00E279B5">
        <w:rPr>
          <w:rtl/>
        </w:rPr>
        <w:t xml:space="preserve"> </w:t>
      </w:r>
      <w:r w:rsidRPr="00E279B5">
        <w:rPr>
          <w:rFonts w:hint="eastAsia"/>
          <w:rtl/>
        </w:rPr>
        <w:t>החוק</w:t>
      </w:r>
      <w:r w:rsidRPr="00E279B5">
        <w:rPr>
          <w:rtl/>
        </w:rPr>
        <w:t xml:space="preserve">, </w:t>
      </w:r>
      <w:r>
        <w:rPr>
          <w:rFonts w:hint="cs"/>
          <w:rtl/>
        </w:rPr>
        <w:t xml:space="preserve">או </w:t>
      </w:r>
      <w:r w:rsidRPr="00587889">
        <w:rPr>
          <w:rFonts w:hint="eastAsia"/>
          <w:rtl/>
        </w:rPr>
        <w:t>בהתייחסו</w:t>
      </w:r>
      <w:r w:rsidRPr="00587889">
        <w:rPr>
          <w:rFonts w:hint="cs"/>
          <w:rtl/>
        </w:rPr>
        <w:t>יו</w:t>
      </w:r>
      <w:r w:rsidRPr="00587889">
        <w:rPr>
          <w:rFonts w:hint="eastAsia"/>
          <w:rtl/>
        </w:rPr>
        <w:t>ת</w:t>
      </w:r>
      <w:r w:rsidRPr="00587889">
        <w:rPr>
          <w:rtl/>
        </w:rPr>
        <w:t xml:space="preserve"> </w:t>
      </w:r>
      <w:r w:rsidRPr="00587889">
        <w:rPr>
          <w:rFonts w:hint="eastAsia"/>
          <w:rtl/>
        </w:rPr>
        <w:t>המחוקקים</w:t>
      </w:r>
      <w:r w:rsidRPr="0067007A">
        <w:rPr>
          <w:rtl/>
        </w:rPr>
        <w:t xml:space="preserve"> </w:t>
      </w:r>
      <w:r w:rsidRPr="0067007A">
        <w:rPr>
          <w:rFonts w:hint="eastAsia"/>
          <w:rtl/>
        </w:rPr>
        <w:t>תוך</w:t>
      </w:r>
      <w:r w:rsidRPr="0067007A">
        <w:rPr>
          <w:rtl/>
        </w:rPr>
        <w:t xml:space="preserve"> </w:t>
      </w:r>
      <w:r w:rsidRPr="0067007A">
        <w:rPr>
          <w:rFonts w:hint="eastAsia"/>
          <w:rtl/>
        </w:rPr>
        <w:t>כדי</w:t>
      </w:r>
      <w:r w:rsidRPr="0067007A">
        <w:rPr>
          <w:rtl/>
        </w:rPr>
        <w:t xml:space="preserve"> </w:t>
      </w:r>
      <w:r w:rsidRPr="0067007A">
        <w:rPr>
          <w:rFonts w:hint="eastAsia"/>
          <w:rtl/>
        </w:rPr>
        <w:t>הליך</w:t>
      </w:r>
      <w:r w:rsidRPr="0067007A">
        <w:rPr>
          <w:rtl/>
        </w:rPr>
        <w:t xml:space="preserve"> </w:t>
      </w:r>
      <w:r w:rsidRPr="0067007A">
        <w:rPr>
          <w:rFonts w:hint="eastAsia"/>
          <w:rtl/>
        </w:rPr>
        <w:t>החקיקה</w:t>
      </w:r>
      <w:r>
        <w:rPr>
          <w:rFonts w:hint="cs"/>
          <w:rtl/>
        </w:rPr>
        <w:t xml:space="preserve"> (עניין </w:t>
      </w:r>
      <w:r>
        <w:rPr>
          <w:rFonts w:ascii="Century" w:hAnsi="Century" w:cs="Miriam" w:hint="cs"/>
          <w:b/>
          <w:spacing w:val="0"/>
          <w:sz w:val="22"/>
          <w:szCs w:val="24"/>
          <w:rtl/>
        </w:rPr>
        <w:t xml:space="preserve">תומר </w:t>
      </w:r>
      <w:r w:rsidRPr="002E004A">
        <w:rPr>
          <w:rFonts w:ascii="Century" w:hAnsi="Century" w:cs="Miriam" w:hint="cs"/>
          <w:b/>
          <w:spacing w:val="0"/>
          <w:sz w:val="22"/>
          <w:szCs w:val="24"/>
          <w:rtl/>
        </w:rPr>
        <w:t>ורשה</w:t>
      </w:r>
      <w:r>
        <w:rPr>
          <w:rFonts w:ascii="Century" w:hAnsi="Century" w:hint="cs"/>
          <w:sz w:val="22"/>
          <w:rtl/>
        </w:rPr>
        <w:t xml:space="preserve">, פסקה 23; </w:t>
      </w:r>
      <w:r w:rsidRPr="002E004A">
        <w:rPr>
          <w:rFonts w:ascii="Century" w:hAnsi="Century" w:hint="cs"/>
          <w:sz w:val="22"/>
          <w:rtl/>
        </w:rPr>
        <w:t>ברק</w:t>
      </w:r>
      <w:r>
        <w:rPr>
          <w:rFonts w:hint="cs"/>
          <w:rtl/>
        </w:rPr>
        <w:t>, פרשנות תכליתית, בעמ' 179)</w:t>
      </w:r>
      <w:r w:rsidRPr="0067007A">
        <w:rPr>
          <w:rtl/>
        </w:rPr>
        <w:t>.</w:t>
      </w:r>
      <w:r>
        <w:rPr>
          <w:rFonts w:hint="cs"/>
          <w:rtl/>
        </w:rPr>
        <w:t xml:space="preserve"> </w:t>
      </w:r>
      <w:r w:rsidRPr="00015456">
        <w:rPr>
          <w:rFonts w:hint="eastAsia"/>
          <w:rtl/>
        </w:rPr>
        <w:t>לעומתה</w:t>
      </w:r>
      <w:r w:rsidRPr="00015456">
        <w:rPr>
          <w:rtl/>
        </w:rPr>
        <w:t xml:space="preserve">, </w:t>
      </w:r>
      <w:r w:rsidRPr="00015456">
        <w:rPr>
          <w:rFonts w:hint="eastAsia"/>
          <w:rtl/>
        </w:rPr>
        <w:t>התכלית</w:t>
      </w:r>
      <w:r w:rsidRPr="00015456">
        <w:rPr>
          <w:rtl/>
        </w:rPr>
        <w:t xml:space="preserve"> </w:t>
      </w:r>
      <w:r w:rsidRPr="00015456">
        <w:rPr>
          <w:rFonts w:hint="eastAsia"/>
          <w:rtl/>
        </w:rPr>
        <w:t>האובייקטיבית</w:t>
      </w:r>
      <w:r w:rsidRPr="00015456">
        <w:rPr>
          <w:rtl/>
        </w:rPr>
        <w:t xml:space="preserve"> </w:t>
      </w:r>
      <w:r w:rsidRPr="00015456">
        <w:rPr>
          <w:rFonts w:hint="eastAsia"/>
          <w:rtl/>
        </w:rPr>
        <w:t>כוללת</w:t>
      </w:r>
      <w:r w:rsidRPr="00015456">
        <w:rPr>
          <w:rtl/>
        </w:rPr>
        <w:t xml:space="preserve"> </w:t>
      </w:r>
      <w:r w:rsidRPr="00015456">
        <w:rPr>
          <w:rFonts w:hint="eastAsia"/>
          <w:rtl/>
        </w:rPr>
        <w:t>את</w:t>
      </w:r>
      <w:r w:rsidRPr="00015456">
        <w:rPr>
          <w:rtl/>
        </w:rPr>
        <w:t xml:space="preserve"> </w:t>
      </w:r>
      <w:r w:rsidRPr="00015456">
        <w:rPr>
          <w:rFonts w:hint="eastAsia"/>
          <w:rtl/>
        </w:rPr>
        <w:t>המטרות</w:t>
      </w:r>
      <w:r w:rsidRPr="00015456">
        <w:rPr>
          <w:rtl/>
        </w:rPr>
        <w:t xml:space="preserve"> </w:t>
      </w:r>
      <w:r w:rsidRPr="00015456">
        <w:rPr>
          <w:rFonts w:hint="eastAsia"/>
          <w:rtl/>
        </w:rPr>
        <w:t>והמדיניות</w:t>
      </w:r>
      <w:r w:rsidRPr="00015456">
        <w:rPr>
          <w:rtl/>
        </w:rPr>
        <w:t xml:space="preserve">, </w:t>
      </w:r>
      <w:r w:rsidRPr="00015456">
        <w:rPr>
          <w:rFonts w:hint="eastAsia"/>
          <w:rtl/>
        </w:rPr>
        <w:t>את</w:t>
      </w:r>
      <w:r w:rsidRPr="00015456">
        <w:rPr>
          <w:rtl/>
        </w:rPr>
        <w:t xml:space="preserve"> </w:t>
      </w:r>
      <w:r w:rsidRPr="00015456">
        <w:rPr>
          <w:rFonts w:hint="eastAsia"/>
          <w:rtl/>
        </w:rPr>
        <w:t>הערכים</w:t>
      </w:r>
      <w:r w:rsidRPr="00015456">
        <w:rPr>
          <w:rtl/>
        </w:rPr>
        <w:t xml:space="preserve"> </w:t>
      </w:r>
      <w:r w:rsidRPr="00015456">
        <w:rPr>
          <w:rFonts w:hint="eastAsia"/>
          <w:rtl/>
        </w:rPr>
        <w:t>והעקרונות</w:t>
      </w:r>
      <w:r w:rsidRPr="00015456">
        <w:rPr>
          <w:rtl/>
        </w:rPr>
        <w:t xml:space="preserve"> </w:t>
      </w:r>
      <w:r w:rsidRPr="00015456">
        <w:rPr>
          <w:rFonts w:hint="eastAsia"/>
          <w:rtl/>
        </w:rPr>
        <w:t>שאותם</w:t>
      </w:r>
      <w:r w:rsidRPr="00015456">
        <w:rPr>
          <w:rtl/>
        </w:rPr>
        <w:t xml:space="preserve"> </w:t>
      </w:r>
      <w:r w:rsidRPr="00015456">
        <w:rPr>
          <w:rFonts w:hint="eastAsia"/>
          <w:rtl/>
        </w:rPr>
        <w:t>נועד</w:t>
      </w:r>
      <w:r w:rsidRPr="00015456">
        <w:rPr>
          <w:rtl/>
        </w:rPr>
        <w:t xml:space="preserve"> </w:t>
      </w:r>
      <w:r w:rsidRPr="00015456">
        <w:rPr>
          <w:rFonts w:hint="eastAsia"/>
          <w:rtl/>
        </w:rPr>
        <w:t>להגשים</w:t>
      </w:r>
      <w:r w:rsidRPr="00015456">
        <w:rPr>
          <w:rtl/>
        </w:rPr>
        <w:t xml:space="preserve"> </w:t>
      </w:r>
      <w:r w:rsidRPr="00015456">
        <w:rPr>
          <w:rFonts w:hint="eastAsia"/>
          <w:rtl/>
        </w:rPr>
        <w:t>כל</w:t>
      </w:r>
      <w:r w:rsidRPr="00015456">
        <w:rPr>
          <w:rtl/>
        </w:rPr>
        <w:t xml:space="preserve"> </w:t>
      </w:r>
      <w:r w:rsidRPr="00015456">
        <w:rPr>
          <w:rFonts w:hint="eastAsia"/>
          <w:rtl/>
        </w:rPr>
        <w:t>דבר</w:t>
      </w:r>
      <w:r w:rsidRPr="00015456">
        <w:rPr>
          <w:rtl/>
        </w:rPr>
        <w:t xml:space="preserve"> </w:t>
      </w:r>
      <w:r w:rsidRPr="00015456">
        <w:rPr>
          <w:rFonts w:hint="eastAsia"/>
          <w:rtl/>
        </w:rPr>
        <w:t>חקיקה</w:t>
      </w:r>
      <w:r w:rsidRPr="00015456">
        <w:rPr>
          <w:rtl/>
        </w:rPr>
        <w:t xml:space="preserve"> </w:t>
      </w:r>
      <w:r w:rsidRPr="00015456">
        <w:rPr>
          <w:rFonts w:hint="eastAsia"/>
          <w:rtl/>
        </w:rPr>
        <w:t>בחברה</w:t>
      </w:r>
      <w:r w:rsidRPr="00015456">
        <w:rPr>
          <w:rtl/>
        </w:rPr>
        <w:t xml:space="preserve"> </w:t>
      </w:r>
      <w:r w:rsidRPr="00015456">
        <w:rPr>
          <w:rFonts w:hint="eastAsia"/>
          <w:rtl/>
        </w:rPr>
        <w:t>דמוקרטית</w:t>
      </w:r>
      <w:r w:rsidRPr="00015456">
        <w:rPr>
          <w:rtl/>
        </w:rPr>
        <w:t xml:space="preserve"> </w:t>
      </w:r>
      <w:r w:rsidRPr="00015456">
        <w:rPr>
          <w:rFonts w:hint="eastAsia"/>
          <w:rtl/>
        </w:rPr>
        <w:t>מודרני</w:t>
      </w:r>
      <w:r>
        <w:rPr>
          <w:rFonts w:hint="cs"/>
          <w:rtl/>
        </w:rPr>
        <w:t xml:space="preserve">ת, </w:t>
      </w:r>
      <w:r w:rsidRPr="00015456">
        <w:rPr>
          <w:rFonts w:hint="eastAsia"/>
          <w:rtl/>
        </w:rPr>
        <w:t>כלומר</w:t>
      </w:r>
      <w:r w:rsidRPr="00015456">
        <w:rPr>
          <w:rtl/>
        </w:rPr>
        <w:t>, "</w:t>
      </w:r>
      <w:r w:rsidRPr="00015456">
        <w:rPr>
          <w:rFonts w:hint="eastAsia"/>
          <w:rtl/>
        </w:rPr>
        <w:t>התכלית</w:t>
      </w:r>
      <w:r w:rsidRPr="00015456">
        <w:rPr>
          <w:rtl/>
        </w:rPr>
        <w:t xml:space="preserve"> </w:t>
      </w:r>
      <w:r w:rsidRPr="00015456">
        <w:rPr>
          <w:rFonts w:hint="eastAsia"/>
          <w:rtl/>
        </w:rPr>
        <w:t>שקורא</w:t>
      </w:r>
      <w:r w:rsidRPr="00015456">
        <w:rPr>
          <w:rtl/>
        </w:rPr>
        <w:t xml:space="preserve"> '</w:t>
      </w:r>
      <w:r w:rsidRPr="00015456">
        <w:rPr>
          <w:rFonts w:hint="eastAsia"/>
          <w:rtl/>
        </w:rPr>
        <w:t>סביר</w:t>
      </w:r>
      <w:r w:rsidRPr="00015456">
        <w:rPr>
          <w:rtl/>
        </w:rPr>
        <w:t xml:space="preserve">' </w:t>
      </w:r>
      <w:r w:rsidRPr="00015456">
        <w:rPr>
          <w:rFonts w:hint="eastAsia"/>
          <w:rtl/>
        </w:rPr>
        <w:t>של</w:t>
      </w:r>
      <w:r w:rsidRPr="00015456">
        <w:rPr>
          <w:rtl/>
        </w:rPr>
        <w:t xml:space="preserve"> </w:t>
      </w:r>
      <w:r w:rsidRPr="00015456">
        <w:rPr>
          <w:rFonts w:hint="eastAsia"/>
          <w:rtl/>
        </w:rPr>
        <w:t>דבר</w:t>
      </w:r>
      <w:r w:rsidRPr="00015456">
        <w:rPr>
          <w:rtl/>
        </w:rPr>
        <w:t xml:space="preserve"> </w:t>
      </w:r>
      <w:r w:rsidRPr="00015456">
        <w:rPr>
          <w:rFonts w:hint="eastAsia"/>
          <w:rtl/>
        </w:rPr>
        <w:t>החקיקה</w:t>
      </w:r>
      <w:r w:rsidRPr="00015456">
        <w:rPr>
          <w:rtl/>
        </w:rPr>
        <w:t xml:space="preserve"> </w:t>
      </w:r>
      <w:r w:rsidRPr="00015456">
        <w:rPr>
          <w:rFonts w:hint="eastAsia"/>
          <w:rtl/>
        </w:rPr>
        <w:t>במדינה</w:t>
      </w:r>
      <w:r w:rsidRPr="00015456">
        <w:rPr>
          <w:rtl/>
        </w:rPr>
        <w:t xml:space="preserve"> </w:t>
      </w:r>
      <w:r w:rsidRPr="00015456">
        <w:rPr>
          <w:rFonts w:hint="eastAsia"/>
          <w:rtl/>
        </w:rPr>
        <w:t>דמוקרטית</w:t>
      </w:r>
      <w:r w:rsidRPr="00015456">
        <w:rPr>
          <w:rtl/>
        </w:rPr>
        <w:t xml:space="preserve"> </w:t>
      </w:r>
      <w:r w:rsidRPr="00015456">
        <w:rPr>
          <w:rFonts w:hint="eastAsia"/>
          <w:rtl/>
        </w:rPr>
        <w:t>ייתן</w:t>
      </w:r>
      <w:r w:rsidRPr="00015456">
        <w:rPr>
          <w:rtl/>
        </w:rPr>
        <w:t xml:space="preserve"> </w:t>
      </w:r>
      <w:r w:rsidRPr="00015456">
        <w:rPr>
          <w:rFonts w:hint="eastAsia"/>
          <w:rtl/>
        </w:rPr>
        <w:t>לו</w:t>
      </w:r>
      <w:r w:rsidRPr="00015456">
        <w:rPr>
          <w:rtl/>
        </w:rPr>
        <w:t xml:space="preserve"> </w:t>
      </w:r>
      <w:r w:rsidRPr="00015456">
        <w:rPr>
          <w:rFonts w:hint="eastAsia"/>
          <w:rtl/>
        </w:rPr>
        <w:t>בעת</w:t>
      </w:r>
      <w:r w:rsidRPr="00015456">
        <w:rPr>
          <w:rtl/>
        </w:rPr>
        <w:t xml:space="preserve"> </w:t>
      </w:r>
      <w:r w:rsidRPr="00015456">
        <w:rPr>
          <w:rFonts w:hint="eastAsia"/>
          <w:rtl/>
        </w:rPr>
        <w:t>מתן</w:t>
      </w:r>
      <w:r w:rsidRPr="00015456">
        <w:rPr>
          <w:rtl/>
        </w:rPr>
        <w:t xml:space="preserve"> </w:t>
      </w:r>
      <w:r w:rsidRPr="00015456">
        <w:rPr>
          <w:rFonts w:hint="eastAsia"/>
          <w:rtl/>
        </w:rPr>
        <w:t>הפירוש</w:t>
      </w:r>
      <w:r w:rsidRPr="00015456">
        <w:rPr>
          <w:rtl/>
        </w:rPr>
        <w:t>" (</w:t>
      </w:r>
      <w:r w:rsidRPr="00015456">
        <w:rPr>
          <w:rFonts w:hint="eastAsia"/>
          <w:rtl/>
        </w:rPr>
        <w:t>ברק</w:t>
      </w:r>
      <w:r w:rsidRPr="00015456">
        <w:rPr>
          <w:rtl/>
        </w:rPr>
        <w:t xml:space="preserve">, </w:t>
      </w:r>
      <w:r w:rsidRPr="00015456">
        <w:rPr>
          <w:rFonts w:hint="eastAsia"/>
          <w:rtl/>
        </w:rPr>
        <w:t>פרשנות</w:t>
      </w:r>
      <w:r w:rsidRPr="00015456">
        <w:rPr>
          <w:rtl/>
        </w:rPr>
        <w:t xml:space="preserve"> </w:t>
      </w:r>
      <w:r w:rsidRPr="00015456">
        <w:rPr>
          <w:rFonts w:hint="eastAsia"/>
          <w:rtl/>
        </w:rPr>
        <w:t>החקיקה</w:t>
      </w:r>
      <w:r w:rsidRPr="00015456">
        <w:rPr>
          <w:rtl/>
        </w:rPr>
        <w:t xml:space="preserve">, </w:t>
      </w:r>
      <w:r w:rsidRPr="00015456">
        <w:rPr>
          <w:rFonts w:hint="eastAsia"/>
          <w:rtl/>
        </w:rPr>
        <w:t>בעמ</w:t>
      </w:r>
      <w:r w:rsidRPr="00015456">
        <w:rPr>
          <w:rtl/>
        </w:rPr>
        <w:t xml:space="preserve">' 249; </w:t>
      </w:r>
      <w:r w:rsidRPr="00015456">
        <w:rPr>
          <w:rFonts w:hint="eastAsia"/>
          <w:rtl/>
        </w:rPr>
        <w:t>עניין</w:t>
      </w:r>
      <w:r w:rsidRPr="00015456">
        <w:rPr>
          <w:rtl/>
        </w:rPr>
        <w:t xml:space="preserve"> </w:t>
      </w:r>
      <w:proofErr w:type="spellStart"/>
      <w:r w:rsidRPr="00015456">
        <w:rPr>
          <w:rFonts w:ascii="Century" w:hAnsi="Century" w:cs="Miriam" w:hint="eastAsia"/>
          <w:b/>
          <w:spacing w:val="0"/>
          <w:sz w:val="22"/>
          <w:szCs w:val="24"/>
          <w:rtl/>
        </w:rPr>
        <w:t>לוונשטיין</w:t>
      </w:r>
      <w:proofErr w:type="spellEnd"/>
      <w:r w:rsidRPr="00015456">
        <w:rPr>
          <w:rFonts w:ascii="Century" w:hAnsi="Century" w:cs="Miriam"/>
          <w:b/>
          <w:spacing w:val="0"/>
          <w:sz w:val="22"/>
          <w:szCs w:val="24"/>
          <w:rtl/>
        </w:rPr>
        <w:t>-</w:t>
      </w:r>
      <w:r w:rsidRPr="00015456">
        <w:rPr>
          <w:rFonts w:ascii="Century" w:hAnsi="Century" w:cs="Miriam" w:hint="eastAsia"/>
          <w:b/>
          <w:spacing w:val="0"/>
          <w:sz w:val="22"/>
          <w:szCs w:val="24"/>
          <w:rtl/>
        </w:rPr>
        <w:t>לוי</w:t>
      </w:r>
      <w:r w:rsidRPr="00015456">
        <w:rPr>
          <w:rtl/>
        </w:rPr>
        <w:t xml:space="preserve">, </w:t>
      </w:r>
      <w:r w:rsidRPr="00015456">
        <w:rPr>
          <w:rFonts w:hint="eastAsia"/>
          <w:rtl/>
        </w:rPr>
        <w:t>פסקה</w:t>
      </w:r>
      <w:r w:rsidRPr="00015456">
        <w:rPr>
          <w:rtl/>
        </w:rPr>
        <w:t xml:space="preserve"> 24; </w:t>
      </w:r>
      <w:r w:rsidRPr="00015456">
        <w:rPr>
          <w:rFonts w:hint="eastAsia"/>
          <w:rtl/>
        </w:rPr>
        <w:t>עניין</w:t>
      </w:r>
      <w:r w:rsidRPr="00015456">
        <w:rPr>
          <w:rtl/>
        </w:rPr>
        <w:t xml:space="preserve"> </w:t>
      </w:r>
      <w:r w:rsidRPr="00015456">
        <w:rPr>
          <w:rFonts w:ascii="Century" w:hAnsi="Century" w:cs="Miriam" w:hint="eastAsia"/>
          <w:b/>
          <w:spacing w:val="0"/>
          <w:sz w:val="22"/>
          <w:szCs w:val="24"/>
          <w:rtl/>
        </w:rPr>
        <w:t>אבו</w:t>
      </w:r>
      <w:r w:rsidRPr="00015456">
        <w:rPr>
          <w:rFonts w:ascii="Century" w:hAnsi="Century" w:cs="Miriam"/>
          <w:b/>
          <w:spacing w:val="0"/>
          <w:sz w:val="22"/>
          <w:szCs w:val="24"/>
          <w:rtl/>
        </w:rPr>
        <w:t xml:space="preserve"> </w:t>
      </w:r>
      <w:r w:rsidRPr="00015456">
        <w:rPr>
          <w:rFonts w:ascii="Century" w:hAnsi="Century" w:cs="Miriam" w:hint="eastAsia"/>
          <w:b/>
          <w:spacing w:val="0"/>
          <w:sz w:val="22"/>
          <w:szCs w:val="24"/>
          <w:rtl/>
        </w:rPr>
        <w:t>ערפה</w:t>
      </w:r>
      <w:r w:rsidRPr="00015456">
        <w:rPr>
          <w:rtl/>
        </w:rPr>
        <w:t xml:space="preserve">, </w:t>
      </w:r>
      <w:r w:rsidRPr="00015456">
        <w:rPr>
          <w:rFonts w:hint="eastAsia"/>
          <w:rtl/>
        </w:rPr>
        <w:t>פסקה</w:t>
      </w:r>
      <w:r w:rsidRPr="00015456">
        <w:rPr>
          <w:rtl/>
        </w:rPr>
        <w:t xml:space="preserve"> 30 </w:t>
      </w:r>
      <w:r>
        <w:rPr>
          <w:rFonts w:hint="cs"/>
          <w:rtl/>
        </w:rPr>
        <w:t>לפסק דיני</w:t>
      </w:r>
      <w:r w:rsidRPr="00015456">
        <w:rPr>
          <w:rtl/>
        </w:rPr>
        <w:t xml:space="preserve">; </w:t>
      </w:r>
      <w:r w:rsidRPr="00015456">
        <w:rPr>
          <w:rFonts w:hint="eastAsia"/>
          <w:rtl/>
        </w:rPr>
        <w:t>בג</w:t>
      </w:r>
      <w:r w:rsidRPr="00015456">
        <w:rPr>
          <w:rtl/>
        </w:rPr>
        <w:t>"</w:t>
      </w:r>
      <w:r w:rsidRPr="00015456">
        <w:rPr>
          <w:rFonts w:hint="eastAsia"/>
          <w:rtl/>
        </w:rPr>
        <w:t>ץ</w:t>
      </w:r>
      <w:r w:rsidRPr="00015456">
        <w:rPr>
          <w:rtl/>
        </w:rPr>
        <w:t xml:space="preserve"> 273/10 </w:t>
      </w:r>
      <w:proofErr w:type="spellStart"/>
      <w:r w:rsidRPr="00015456">
        <w:rPr>
          <w:rFonts w:ascii="Century" w:hAnsi="Century" w:cs="Miriam" w:hint="eastAsia"/>
          <w:b/>
          <w:spacing w:val="0"/>
          <w:sz w:val="22"/>
          <w:szCs w:val="24"/>
          <w:rtl/>
        </w:rPr>
        <w:t>אלמיזרק</w:t>
      </w:r>
      <w:proofErr w:type="spellEnd"/>
      <w:r w:rsidRPr="00015456">
        <w:rPr>
          <w:rFonts w:ascii="Century" w:hAnsi="Century" w:cs="Miriam"/>
          <w:b/>
          <w:spacing w:val="0"/>
          <w:sz w:val="22"/>
          <w:szCs w:val="24"/>
          <w:rtl/>
        </w:rPr>
        <w:t xml:space="preserve"> </w:t>
      </w:r>
      <w:r w:rsidRPr="00015456">
        <w:rPr>
          <w:rFonts w:ascii="Century" w:hAnsi="Century" w:cs="Miriam" w:hint="eastAsia"/>
          <w:b/>
          <w:spacing w:val="0"/>
          <w:sz w:val="22"/>
          <w:szCs w:val="24"/>
          <w:rtl/>
        </w:rPr>
        <w:t>נ</w:t>
      </w:r>
      <w:r w:rsidRPr="00015456">
        <w:rPr>
          <w:rFonts w:ascii="Century" w:hAnsi="Century" w:cs="Miriam"/>
          <w:b/>
          <w:spacing w:val="0"/>
          <w:sz w:val="22"/>
          <w:szCs w:val="24"/>
          <w:rtl/>
        </w:rPr>
        <w:t xml:space="preserve">' </w:t>
      </w:r>
      <w:r w:rsidRPr="00015456">
        <w:rPr>
          <w:rFonts w:ascii="Century" w:hAnsi="Century" w:cs="Miriam" w:hint="eastAsia"/>
          <w:b/>
          <w:spacing w:val="0"/>
          <w:sz w:val="22"/>
          <w:szCs w:val="24"/>
          <w:rtl/>
        </w:rPr>
        <w:t>בית</w:t>
      </w:r>
      <w:r w:rsidRPr="00015456">
        <w:rPr>
          <w:rFonts w:ascii="Century" w:hAnsi="Century" w:cs="Miriam"/>
          <w:b/>
          <w:spacing w:val="0"/>
          <w:sz w:val="22"/>
          <w:szCs w:val="24"/>
          <w:rtl/>
        </w:rPr>
        <w:t xml:space="preserve"> </w:t>
      </w:r>
      <w:r w:rsidRPr="00015456">
        <w:rPr>
          <w:rFonts w:ascii="Century" w:hAnsi="Century" w:cs="Miriam" w:hint="eastAsia"/>
          <w:b/>
          <w:spacing w:val="0"/>
          <w:sz w:val="22"/>
          <w:szCs w:val="24"/>
          <w:rtl/>
        </w:rPr>
        <w:t>הדין</w:t>
      </w:r>
      <w:r w:rsidRPr="00015456">
        <w:rPr>
          <w:rFonts w:ascii="Century" w:hAnsi="Century" w:cs="Miriam"/>
          <w:b/>
          <w:spacing w:val="0"/>
          <w:sz w:val="22"/>
          <w:szCs w:val="24"/>
          <w:rtl/>
        </w:rPr>
        <w:t xml:space="preserve"> </w:t>
      </w:r>
      <w:r w:rsidRPr="00015456">
        <w:rPr>
          <w:rFonts w:ascii="Century" w:hAnsi="Century" w:cs="Miriam" w:hint="eastAsia"/>
          <w:b/>
          <w:spacing w:val="0"/>
          <w:sz w:val="22"/>
          <w:szCs w:val="24"/>
          <w:rtl/>
        </w:rPr>
        <w:t>הארצי</w:t>
      </w:r>
      <w:r w:rsidRPr="00015456">
        <w:rPr>
          <w:rFonts w:ascii="Century" w:hAnsi="Century" w:cs="Miriam"/>
          <w:b/>
          <w:spacing w:val="0"/>
          <w:sz w:val="22"/>
          <w:szCs w:val="24"/>
          <w:rtl/>
        </w:rPr>
        <w:t xml:space="preserve"> </w:t>
      </w:r>
      <w:r w:rsidRPr="00015456">
        <w:rPr>
          <w:rFonts w:ascii="Century" w:hAnsi="Century" w:cs="Miriam" w:hint="eastAsia"/>
          <w:b/>
          <w:spacing w:val="0"/>
          <w:sz w:val="22"/>
          <w:szCs w:val="24"/>
          <w:rtl/>
        </w:rPr>
        <w:t>לעבודה</w:t>
      </w:r>
      <w:r w:rsidRPr="00015456">
        <w:rPr>
          <w:rFonts w:ascii="Century" w:hAnsi="Century" w:cs="Miriam"/>
          <w:b/>
          <w:spacing w:val="0"/>
          <w:sz w:val="22"/>
          <w:szCs w:val="24"/>
          <w:rtl/>
        </w:rPr>
        <w:t xml:space="preserve"> </w:t>
      </w:r>
      <w:r w:rsidRPr="00015456">
        <w:rPr>
          <w:rFonts w:ascii="Century" w:hAnsi="Century" w:cs="Miriam" w:hint="eastAsia"/>
          <w:b/>
          <w:spacing w:val="0"/>
          <w:sz w:val="22"/>
          <w:szCs w:val="24"/>
          <w:rtl/>
        </w:rPr>
        <w:t>ירושלים</w:t>
      </w:r>
      <w:r w:rsidRPr="00015456">
        <w:rPr>
          <w:rtl/>
        </w:rPr>
        <w:t xml:space="preserve">, </w:t>
      </w:r>
      <w:r w:rsidRPr="00015456">
        <w:rPr>
          <w:rFonts w:hint="eastAsia"/>
          <w:rtl/>
        </w:rPr>
        <w:t>פסקה</w:t>
      </w:r>
      <w:r w:rsidRPr="00015456">
        <w:rPr>
          <w:rtl/>
        </w:rPr>
        <w:t xml:space="preserve"> 13 (2.9.2011)).</w:t>
      </w:r>
    </w:p>
    <w:p w:rsidR="0046011D" w:rsidRDefault="0046011D" w:rsidP="0046011D">
      <w:pPr>
        <w:pStyle w:val="Ruller41"/>
        <w:rPr>
          <w:rtl/>
        </w:rPr>
      </w:pPr>
    </w:p>
    <w:p w:rsidR="0046011D" w:rsidRPr="00015456" w:rsidRDefault="0046011D" w:rsidP="0046011D">
      <w:pPr>
        <w:pStyle w:val="Ruller41"/>
      </w:pPr>
      <w:r>
        <w:rPr>
          <w:rtl/>
        </w:rPr>
        <w:tab/>
      </w:r>
      <w:r>
        <w:rPr>
          <w:rFonts w:hint="cs"/>
          <w:rtl/>
        </w:rPr>
        <w:t xml:space="preserve">משעמדנו על דברים אלו, נפנה לבחון את פרשנותו של סעיף 3 לחוק האימוץ. </w:t>
      </w:r>
    </w:p>
    <w:p w:rsidR="0046011D" w:rsidRDefault="0046011D" w:rsidP="0046011D">
      <w:pPr>
        <w:pStyle w:val="Ruller41"/>
        <w:rPr>
          <w:rtl/>
        </w:rPr>
      </w:pPr>
    </w:p>
    <w:p w:rsidR="0046011D" w:rsidRDefault="0046011D" w:rsidP="0046011D">
      <w:pPr>
        <w:pStyle w:val="Ruller41"/>
        <w:rPr>
          <w:rFonts w:ascii="Century" w:hAnsi="Century" w:cs="Miriam"/>
          <w:b/>
          <w:spacing w:val="0"/>
          <w:szCs w:val="24"/>
          <w:rtl/>
        </w:rPr>
      </w:pPr>
      <w:r>
        <w:rPr>
          <w:rFonts w:ascii="Century" w:hAnsi="Century" w:cs="Miriam" w:hint="cs"/>
          <w:b/>
          <w:spacing w:val="0"/>
          <w:szCs w:val="24"/>
          <w:rtl/>
        </w:rPr>
        <w:lastRenderedPageBreak/>
        <w:t>רכיב הלשון</w:t>
      </w:r>
    </w:p>
    <w:p w:rsidR="0046011D" w:rsidRPr="00733027" w:rsidRDefault="0046011D" w:rsidP="0046011D">
      <w:pPr>
        <w:pStyle w:val="Ruller41"/>
      </w:pPr>
    </w:p>
    <w:p w:rsidR="0046011D" w:rsidRDefault="0046011D" w:rsidP="0046011D">
      <w:pPr>
        <w:pStyle w:val="Ruller4"/>
      </w:pPr>
      <w:r>
        <w:rPr>
          <w:rFonts w:hint="cs"/>
          <w:rtl/>
        </w:rPr>
        <w:t>ציטטתי לעיל את לשונו של סעיף 3 לחוק, שקובע כי "</w:t>
      </w:r>
      <w:r w:rsidRPr="00816C0C">
        <w:rPr>
          <w:rFonts w:hint="eastAsia"/>
          <w:rtl/>
        </w:rPr>
        <w:t>אין</w:t>
      </w:r>
      <w:r w:rsidRPr="00816C0C">
        <w:rPr>
          <w:rtl/>
        </w:rPr>
        <w:t xml:space="preserve"> </w:t>
      </w:r>
      <w:r w:rsidRPr="00816C0C">
        <w:rPr>
          <w:rFonts w:hint="eastAsia"/>
          <w:rtl/>
        </w:rPr>
        <w:t>אימוץ</w:t>
      </w:r>
      <w:r w:rsidRPr="00816C0C">
        <w:rPr>
          <w:rtl/>
        </w:rPr>
        <w:t xml:space="preserve"> </w:t>
      </w:r>
      <w:r w:rsidRPr="00816C0C">
        <w:rPr>
          <w:rFonts w:hint="eastAsia"/>
          <w:rtl/>
        </w:rPr>
        <w:t>אלא</w:t>
      </w:r>
      <w:r w:rsidRPr="00816C0C">
        <w:rPr>
          <w:rtl/>
        </w:rPr>
        <w:t xml:space="preserve"> </w:t>
      </w:r>
      <w:r w:rsidRPr="00816C0C">
        <w:rPr>
          <w:rFonts w:hint="eastAsia"/>
          <w:rtl/>
        </w:rPr>
        <w:t>על</w:t>
      </w:r>
      <w:r w:rsidRPr="00816C0C">
        <w:rPr>
          <w:rtl/>
        </w:rPr>
        <w:t xml:space="preserve"> </w:t>
      </w:r>
      <w:r w:rsidRPr="00816C0C">
        <w:rPr>
          <w:rFonts w:hint="eastAsia"/>
          <w:rtl/>
        </w:rPr>
        <w:t>ידי</w:t>
      </w:r>
      <w:r w:rsidRPr="00816C0C">
        <w:rPr>
          <w:rtl/>
        </w:rPr>
        <w:t xml:space="preserve"> </w:t>
      </w:r>
      <w:r w:rsidRPr="00816C0C">
        <w:rPr>
          <w:rFonts w:ascii="Century" w:hAnsi="Century" w:cs="Miriam" w:hint="eastAsia"/>
          <w:b/>
          <w:spacing w:val="0"/>
          <w:sz w:val="22"/>
          <w:szCs w:val="24"/>
          <w:rtl/>
        </w:rPr>
        <w:t>איש</w:t>
      </w:r>
      <w:r w:rsidRPr="00816C0C">
        <w:rPr>
          <w:rFonts w:ascii="Century" w:hAnsi="Century" w:cs="Miriam"/>
          <w:b/>
          <w:spacing w:val="0"/>
          <w:sz w:val="22"/>
          <w:szCs w:val="24"/>
          <w:rtl/>
        </w:rPr>
        <w:t xml:space="preserve"> </w:t>
      </w:r>
      <w:r w:rsidRPr="00816C0C">
        <w:rPr>
          <w:rFonts w:ascii="Century" w:hAnsi="Century" w:cs="Miriam" w:hint="eastAsia"/>
          <w:b/>
          <w:spacing w:val="0"/>
          <w:sz w:val="22"/>
          <w:szCs w:val="24"/>
          <w:rtl/>
        </w:rPr>
        <w:t>ואשתו</w:t>
      </w:r>
      <w:r w:rsidRPr="00816C0C">
        <w:rPr>
          <w:rFonts w:ascii="Century" w:hAnsi="Century" w:cs="Miriam"/>
          <w:b/>
          <w:spacing w:val="0"/>
          <w:sz w:val="22"/>
          <w:szCs w:val="24"/>
          <w:rtl/>
        </w:rPr>
        <w:t xml:space="preserve"> </w:t>
      </w:r>
      <w:r w:rsidRPr="00816C0C">
        <w:rPr>
          <w:rFonts w:ascii="Century" w:hAnsi="Century" w:cs="Miriam" w:hint="eastAsia"/>
          <w:b/>
          <w:spacing w:val="0"/>
          <w:sz w:val="22"/>
          <w:szCs w:val="24"/>
          <w:rtl/>
        </w:rPr>
        <w:t>יחד</w:t>
      </w:r>
      <w:r w:rsidRPr="00816C0C">
        <w:rPr>
          <w:rtl/>
        </w:rPr>
        <w:t xml:space="preserve">; </w:t>
      </w:r>
      <w:r w:rsidRPr="00816C0C">
        <w:rPr>
          <w:rFonts w:hint="eastAsia"/>
          <w:rtl/>
        </w:rPr>
        <w:t>ואולם</w:t>
      </w:r>
      <w:r w:rsidRPr="00816C0C">
        <w:rPr>
          <w:rtl/>
        </w:rPr>
        <w:t xml:space="preserve"> </w:t>
      </w:r>
      <w:r w:rsidRPr="00816C0C">
        <w:rPr>
          <w:rFonts w:hint="eastAsia"/>
          <w:rtl/>
        </w:rPr>
        <w:t>רשאי</w:t>
      </w:r>
      <w:r w:rsidRPr="00816C0C">
        <w:rPr>
          <w:rtl/>
        </w:rPr>
        <w:t xml:space="preserve"> </w:t>
      </w:r>
      <w:r w:rsidRPr="00816C0C">
        <w:rPr>
          <w:rFonts w:hint="eastAsia"/>
          <w:rtl/>
        </w:rPr>
        <w:t>בית</w:t>
      </w:r>
      <w:r w:rsidRPr="00816C0C">
        <w:rPr>
          <w:rtl/>
        </w:rPr>
        <w:t xml:space="preserve"> </w:t>
      </w:r>
      <w:r w:rsidRPr="00816C0C">
        <w:rPr>
          <w:rFonts w:hint="eastAsia"/>
          <w:rtl/>
        </w:rPr>
        <w:t>משפט</w:t>
      </w:r>
      <w:r w:rsidRPr="00816C0C">
        <w:rPr>
          <w:rtl/>
        </w:rPr>
        <w:t xml:space="preserve"> </w:t>
      </w:r>
      <w:proofErr w:type="spellStart"/>
      <w:r w:rsidRPr="00816C0C">
        <w:rPr>
          <w:rFonts w:hint="eastAsia"/>
          <w:rtl/>
        </w:rPr>
        <w:t>ליתן</w:t>
      </w:r>
      <w:proofErr w:type="spellEnd"/>
      <w:r w:rsidRPr="00816C0C">
        <w:rPr>
          <w:rtl/>
        </w:rPr>
        <w:t xml:space="preserve"> </w:t>
      </w:r>
      <w:r w:rsidRPr="00816C0C">
        <w:rPr>
          <w:rFonts w:hint="eastAsia"/>
          <w:rtl/>
        </w:rPr>
        <w:t>צו</w:t>
      </w:r>
      <w:r w:rsidRPr="00816C0C">
        <w:rPr>
          <w:rtl/>
        </w:rPr>
        <w:t xml:space="preserve"> </w:t>
      </w:r>
      <w:r w:rsidRPr="00816C0C">
        <w:rPr>
          <w:rFonts w:hint="eastAsia"/>
          <w:rtl/>
        </w:rPr>
        <w:t>אימוץ</w:t>
      </w:r>
      <w:r w:rsidRPr="00816C0C">
        <w:rPr>
          <w:rtl/>
        </w:rPr>
        <w:t xml:space="preserve"> </w:t>
      </w:r>
      <w:r w:rsidRPr="00816C0C">
        <w:rPr>
          <w:rFonts w:ascii="Century" w:hAnsi="Century" w:cs="Miriam" w:hint="eastAsia"/>
          <w:b/>
          <w:spacing w:val="0"/>
          <w:sz w:val="22"/>
          <w:szCs w:val="24"/>
          <w:rtl/>
        </w:rPr>
        <w:t>למאמץ</w:t>
      </w:r>
      <w:r w:rsidRPr="00816C0C">
        <w:rPr>
          <w:rFonts w:ascii="Century" w:hAnsi="Century" w:cs="Miriam"/>
          <w:b/>
          <w:spacing w:val="0"/>
          <w:sz w:val="22"/>
          <w:szCs w:val="24"/>
          <w:rtl/>
        </w:rPr>
        <w:t xml:space="preserve"> </w:t>
      </w:r>
      <w:r w:rsidRPr="00816C0C">
        <w:rPr>
          <w:rFonts w:ascii="Century" w:hAnsi="Century" w:cs="Miriam" w:hint="eastAsia"/>
          <w:b/>
          <w:spacing w:val="0"/>
          <w:sz w:val="22"/>
          <w:szCs w:val="24"/>
          <w:rtl/>
        </w:rPr>
        <w:t>יחיד</w:t>
      </w:r>
      <w:r w:rsidRPr="00816C0C">
        <w:rPr>
          <w:rFonts w:ascii="Century" w:hAnsi="Century" w:cs="Miriam" w:hint="cs"/>
          <w:b/>
          <w:spacing w:val="0"/>
          <w:sz w:val="22"/>
          <w:szCs w:val="24"/>
          <w:rtl/>
        </w:rPr>
        <w:t xml:space="preserve"> </w:t>
      </w:r>
      <w:r>
        <w:rPr>
          <w:rFonts w:hint="cs"/>
          <w:rtl/>
        </w:rPr>
        <w:t xml:space="preserve">[...]". </w:t>
      </w:r>
      <w:r w:rsidRPr="00816C0C">
        <w:rPr>
          <w:rFonts w:hint="eastAsia"/>
          <w:rtl/>
        </w:rPr>
        <w:t>התיבה</w:t>
      </w:r>
      <w:r w:rsidRPr="00816C0C">
        <w:rPr>
          <w:rtl/>
        </w:rPr>
        <w:t xml:space="preserve"> </w:t>
      </w:r>
      <w:r>
        <w:rPr>
          <w:rFonts w:hint="cs"/>
          <w:rtl/>
        </w:rPr>
        <w:t>"איש ואשתו יחד</w:t>
      </w:r>
      <w:r w:rsidRPr="00816C0C">
        <w:rPr>
          <w:rtl/>
        </w:rPr>
        <w:t xml:space="preserve">" </w:t>
      </w:r>
      <w:r w:rsidRPr="00816C0C">
        <w:rPr>
          <w:rFonts w:hint="eastAsia"/>
          <w:rtl/>
        </w:rPr>
        <w:t>היא</w:t>
      </w:r>
      <w:r w:rsidRPr="00816C0C">
        <w:rPr>
          <w:rtl/>
        </w:rPr>
        <w:t xml:space="preserve"> </w:t>
      </w:r>
      <w:r w:rsidRPr="00816C0C">
        <w:rPr>
          <w:rFonts w:hint="eastAsia"/>
          <w:rtl/>
        </w:rPr>
        <w:t>שעומדת</w:t>
      </w:r>
      <w:r w:rsidRPr="00816C0C">
        <w:rPr>
          <w:rtl/>
        </w:rPr>
        <w:t xml:space="preserve"> </w:t>
      </w:r>
      <w:r w:rsidRPr="00816C0C">
        <w:rPr>
          <w:rFonts w:hint="eastAsia"/>
          <w:rtl/>
        </w:rPr>
        <w:t>במוקד</w:t>
      </w:r>
      <w:r w:rsidRPr="00816C0C">
        <w:rPr>
          <w:rtl/>
        </w:rPr>
        <w:t xml:space="preserve"> </w:t>
      </w:r>
      <w:r w:rsidRPr="00816C0C">
        <w:rPr>
          <w:rFonts w:hint="eastAsia"/>
          <w:rtl/>
        </w:rPr>
        <w:t>דיוננו</w:t>
      </w:r>
      <w:r w:rsidRPr="00816C0C">
        <w:rPr>
          <w:rtl/>
        </w:rPr>
        <w:t>.</w:t>
      </w:r>
      <w:r>
        <w:rPr>
          <w:rFonts w:hint="cs"/>
          <w:rtl/>
        </w:rPr>
        <w:t xml:space="preserve"> אין לכחד כי מבחינה לשונית, הפרשנות שמתיישבת באופן פשוט יותר עם המובן המקובל של התיבה "איש ואשתו" היא שביטוי זה מתייחס לבני זוג שהם זכר ונקבה, קרי בני זוג הטרוסקסואליים. </w:t>
      </w:r>
      <w:r>
        <w:rPr>
          <w:rFonts w:ascii="FrankRuehl" w:hAnsi="FrankRuehl" w:hint="cs"/>
          <w:sz w:val="28"/>
          <w:rtl/>
        </w:rPr>
        <w:t>ואולם, כפי שהודגש בעבר בפסיקתנו, "</w:t>
      </w:r>
      <w:r w:rsidRPr="00816C0C">
        <w:rPr>
          <w:rFonts w:ascii="FrankRuehl" w:hAnsi="FrankRuehl" w:hint="eastAsia"/>
          <w:sz w:val="28"/>
          <w:rtl/>
        </w:rPr>
        <w:t>פרשנות</w:t>
      </w:r>
      <w:r w:rsidRPr="00816C0C">
        <w:rPr>
          <w:rFonts w:ascii="FrankRuehl" w:hAnsi="FrankRuehl"/>
          <w:sz w:val="28"/>
          <w:rtl/>
        </w:rPr>
        <w:t xml:space="preserve"> </w:t>
      </w:r>
      <w:r w:rsidRPr="00816C0C">
        <w:rPr>
          <w:rFonts w:ascii="FrankRuehl" w:hAnsi="FrankRuehl" w:hint="eastAsia"/>
          <w:sz w:val="28"/>
          <w:rtl/>
        </w:rPr>
        <w:t>אינה</w:t>
      </w:r>
      <w:r w:rsidRPr="00816C0C">
        <w:rPr>
          <w:rFonts w:ascii="FrankRuehl" w:hAnsi="FrankRuehl"/>
          <w:sz w:val="28"/>
          <w:rtl/>
        </w:rPr>
        <w:t xml:space="preserve"> </w:t>
      </w:r>
      <w:r w:rsidRPr="00816C0C">
        <w:rPr>
          <w:rFonts w:ascii="FrankRuehl" w:hAnsi="FrankRuehl" w:hint="eastAsia"/>
          <w:sz w:val="28"/>
          <w:rtl/>
        </w:rPr>
        <w:t>אך</w:t>
      </w:r>
      <w:r w:rsidRPr="00816C0C">
        <w:rPr>
          <w:rFonts w:ascii="FrankRuehl" w:hAnsi="FrankRuehl"/>
          <w:sz w:val="28"/>
          <w:rtl/>
        </w:rPr>
        <w:t xml:space="preserve"> </w:t>
      </w:r>
      <w:r w:rsidRPr="00816C0C">
        <w:rPr>
          <w:rFonts w:ascii="FrankRuehl" w:hAnsi="FrankRuehl" w:hint="eastAsia"/>
          <w:sz w:val="28"/>
          <w:rtl/>
        </w:rPr>
        <w:t>בלשנות</w:t>
      </w:r>
      <w:r w:rsidRPr="00816C0C">
        <w:rPr>
          <w:rFonts w:ascii="FrankRuehl" w:hAnsi="FrankRuehl"/>
          <w:sz w:val="28"/>
          <w:rtl/>
        </w:rPr>
        <w:t>"</w:t>
      </w:r>
      <w:r>
        <w:rPr>
          <w:rFonts w:ascii="FrankRuehl" w:hAnsi="FrankRuehl" w:hint="cs"/>
          <w:sz w:val="28"/>
          <w:rtl/>
        </w:rPr>
        <w:t xml:space="preserve"> (</w:t>
      </w:r>
      <w:r w:rsidRPr="00816C0C">
        <w:rPr>
          <w:rFonts w:ascii="FrankRuehl" w:hAnsi="FrankRuehl" w:hint="eastAsia"/>
          <w:sz w:val="28"/>
          <w:rtl/>
        </w:rPr>
        <w:t>בג</w:t>
      </w:r>
      <w:r w:rsidRPr="00816C0C">
        <w:rPr>
          <w:rFonts w:ascii="FrankRuehl" w:hAnsi="FrankRuehl"/>
          <w:sz w:val="28"/>
          <w:rtl/>
        </w:rPr>
        <w:t>"</w:t>
      </w:r>
      <w:r w:rsidRPr="00816C0C">
        <w:rPr>
          <w:rFonts w:ascii="FrankRuehl" w:hAnsi="FrankRuehl" w:hint="eastAsia"/>
          <w:sz w:val="28"/>
          <w:rtl/>
        </w:rPr>
        <w:t>ץ</w:t>
      </w:r>
      <w:r w:rsidRPr="00816C0C">
        <w:rPr>
          <w:rFonts w:ascii="FrankRuehl" w:hAnsi="FrankRuehl"/>
          <w:sz w:val="28"/>
          <w:rtl/>
        </w:rPr>
        <w:t xml:space="preserve"> 846/93 </w:t>
      </w:r>
      <w:r w:rsidRPr="00816C0C">
        <w:rPr>
          <w:rFonts w:ascii="Century" w:hAnsi="Century" w:cs="Miriam" w:hint="eastAsia"/>
          <w:b/>
          <w:spacing w:val="0"/>
          <w:sz w:val="22"/>
          <w:szCs w:val="24"/>
          <w:rtl/>
        </w:rPr>
        <w:t>ברק</w:t>
      </w:r>
      <w:r w:rsidRPr="00816C0C">
        <w:rPr>
          <w:rFonts w:ascii="Century" w:hAnsi="Century" w:cs="Miriam"/>
          <w:b/>
          <w:spacing w:val="0"/>
          <w:sz w:val="22"/>
          <w:szCs w:val="24"/>
          <w:rtl/>
        </w:rPr>
        <w:t xml:space="preserve"> </w:t>
      </w:r>
      <w:r w:rsidRPr="00816C0C">
        <w:rPr>
          <w:rFonts w:ascii="Century" w:hAnsi="Century" w:cs="Miriam" w:hint="eastAsia"/>
          <w:b/>
          <w:spacing w:val="0"/>
          <w:sz w:val="22"/>
          <w:szCs w:val="24"/>
          <w:rtl/>
        </w:rPr>
        <w:t>נ</w:t>
      </w:r>
      <w:r w:rsidRPr="00816C0C">
        <w:rPr>
          <w:rFonts w:ascii="Century" w:hAnsi="Century" w:cs="Miriam"/>
          <w:b/>
          <w:spacing w:val="0"/>
          <w:sz w:val="22"/>
          <w:szCs w:val="24"/>
          <w:rtl/>
        </w:rPr>
        <w:t xml:space="preserve">' </w:t>
      </w:r>
      <w:r w:rsidRPr="00816C0C">
        <w:rPr>
          <w:rFonts w:ascii="Century" w:hAnsi="Century" w:cs="Miriam" w:hint="eastAsia"/>
          <w:b/>
          <w:spacing w:val="0"/>
          <w:sz w:val="22"/>
          <w:szCs w:val="24"/>
          <w:rtl/>
        </w:rPr>
        <w:t>בית</w:t>
      </w:r>
      <w:r w:rsidRPr="00816C0C">
        <w:rPr>
          <w:rFonts w:ascii="Century" w:hAnsi="Century" w:cs="Miriam"/>
          <w:b/>
          <w:spacing w:val="0"/>
          <w:sz w:val="22"/>
          <w:szCs w:val="24"/>
          <w:rtl/>
        </w:rPr>
        <w:t>-</w:t>
      </w:r>
      <w:r w:rsidRPr="00816C0C">
        <w:rPr>
          <w:rFonts w:ascii="Century" w:hAnsi="Century" w:cs="Miriam" w:hint="eastAsia"/>
          <w:b/>
          <w:spacing w:val="0"/>
          <w:sz w:val="22"/>
          <w:szCs w:val="24"/>
          <w:rtl/>
        </w:rPr>
        <w:t>הדין</w:t>
      </w:r>
      <w:r w:rsidRPr="00816C0C">
        <w:rPr>
          <w:rFonts w:ascii="Century" w:hAnsi="Century" w:cs="Miriam"/>
          <w:b/>
          <w:spacing w:val="0"/>
          <w:sz w:val="22"/>
          <w:szCs w:val="24"/>
          <w:rtl/>
        </w:rPr>
        <w:t xml:space="preserve"> </w:t>
      </w:r>
      <w:r w:rsidRPr="00816C0C">
        <w:rPr>
          <w:rFonts w:ascii="Century" w:hAnsi="Century" w:cs="Miriam" w:hint="eastAsia"/>
          <w:b/>
          <w:spacing w:val="0"/>
          <w:sz w:val="22"/>
          <w:szCs w:val="24"/>
          <w:rtl/>
        </w:rPr>
        <w:t>הארצי</w:t>
      </w:r>
      <w:r w:rsidRPr="00816C0C">
        <w:rPr>
          <w:rFonts w:ascii="Century" w:hAnsi="Century" w:cs="Miriam"/>
          <w:b/>
          <w:spacing w:val="0"/>
          <w:sz w:val="22"/>
          <w:szCs w:val="24"/>
          <w:rtl/>
        </w:rPr>
        <w:t xml:space="preserve"> </w:t>
      </w:r>
      <w:r w:rsidRPr="00816C0C">
        <w:rPr>
          <w:rFonts w:ascii="Century" w:hAnsi="Century" w:cs="Miriam" w:hint="eastAsia"/>
          <w:b/>
          <w:spacing w:val="0"/>
          <w:sz w:val="22"/>
          <w:szCs w:val="24"/>
          <w:rtl/>
        </w:rPr>
        <w:t>לעבודה</w:t>
      </w:r>
      <w:r w:rsidRPr="00816C0C">
        <w:rPr>
          <w:rFonts w:ascii="Century" w:hAnsi="Century" w:cs="Miriam"/>
          <w:b/>
          <w:spacing w:val="0"/>
          <w:sz w:val="22"/>
          <w:szCs w:val="24"/>
          <w:rtl/>
        </w:rPr>
        <w:t xml:space="preserve">, </w:t>
      </w:r>
      <w:r w:rsidRPr="00816C0C">
        <w:rPr>
          <w:rFonts w:ascii="Century" w:hAnsi="Century" w:cs="Miriam" w:hint="eastAsia"/>
          <w:b/>
          <w:spacing w:val="0"/>
          <w:sz w:val="22"/>
          <w:szCs w:val="24"/>
          <w:rtl/>
        </w:rPr>
        <w:t>ירושלים</w:t>
      </w:r>
      <w:r w:rsidRPr="00816C0C">
        <w:rPr>
          <w:rFonts w:ascii="FrankRuehl" w:hAnsi="FrankRuehl"/>
          <w:sz w:val="28"/>
          <w:rtl/>
        </w:rPr>
        <w:t xml:space="preserve">, </w:t>
      </w:r>
      <w:r w:rsidRPr="00816C0C">
        <w:rPr>
          <w:rFonts w:ascii="FrankRuehl" w:hAnsi="FrankRuehl" w:hint="eastAsia"/>
          <w:sz w:val="28"/>
          <w:rtl/>
        </w:rPr>
        <w:t>פ</w:t>
      </w:r>
      <w:r w:rsidRPr="00816C0C">
        <w:rPr>
          <w:rFonts w:ascii="FrankRuehl" w:hAnsi="FrankRuehl"/>
          <w:sz w:val="28"/>
          <w:rtl/>
        </w:rPr>
        <w:t>"</w:t>
      </w:r>
      <w:r w:rsidRPr="00816C0C">
        <w:rPr>
          <w:rFonts w:ascii="FrankRuehl" w:hAnsi="FrankRuehl" w:hint="eastAsia"/>
          <w:sz w:val="28"/>
          <w:rtl/>
        </w:rPr>
        <w:t>ד</w:t>
      </w:r>
      <w:r w:rsidRPr="00816C0C">
        <w:rPr>
          <w:rFonts w:ascii="FrankRuehl" w:hAnsi="FrankRuehl"/>
          <w:sz w:val="28"/>
          <w:rtl/>
        </w:rPr>
        <w:t xml:space="preserve"> </w:t>
      </w:r>
      <w:r w:rsidRPr="00816C0C">
        <w:rPr>
          <w:rFonts w:ascii="FrankRuehl" w:hAnsi="FrankRuehl" w:hint="eastAsia"/>
          <w:sz w:val="28"/>
          <w:rtl/>
        </w:rPr>
        <w:t>נא</w:t>
      </w:r>
      <w:r w:rsidRPr="00816C0C">
        <w:rPr>
          <w:rFonts w:ascii="FrankRuehl" w:hAnsi="FrankRuehl"/>
          <w:sz w:val="28"/>
          <w:rtl/>
        </w:rPr>
        <w:t>(1) 3, 10 (1994)</w:t>
      </w:r>
      <w:r>
        <w:rPr>
          <w:rFonts w:hint="cs"/>
          <w:rtl/>
        </w:rPr>
        <w:t xml:space="preserve"> (להלן: עניין </w:t>
      </w:r>
      <w:r w:rsidRPr="005B75A3">
        <w:rPr>
          <w:rFonts w:ascii="Century" w:hAnsi="Century" w:cs="Miriam" w:hint="cs"/>
          <w:b/>
          <w:spacing w:val="0"/>
          <w:sz w:val="22"/>
          <w:szCs w:val="24"/>
          <w:rtl/>
        </w:rPr>
        <w:t>ברק</w:t>
      </w:r>
      <w:r>
        <w:rPr>
          <w:rFonts w:hint="cs"/>
          <w:rtl/>
        </w:rPr>
        <w:t>); כן ראו:</w:t>
      </w:r>
      <w:r w:rsidRPr="009B4B57">
        <w:rPr>
          <w:rtl/>
        </w:rPr>
        <w:t xml:space="preserve"> </w:t>
      </w:r>
      <w:r w:rsidRPr="009B4B57">
        <w:rPr>
          <w:rFonts w:hint="eastAsia"/>
          <w:rtl/>
        </w:rPr>
        <w:t>בג</w:t>
      </w:r>
      <w:r w:rsidRPr="009B4B57">
        <w:rPr>
          <w:rtl/>
        </w:rPr>
        <w:t>"</w:t>
      </w:r>
      <w:r w:rsidRPr="009B4B57">
        <w:rPr>
          <w:rFonts w:hint="eastAsia"/>
          <w:rtl/>
        </w:rPr>
        <w:t>ץ</w:t>
      </w:r>
      <w:r w:rsidRPr="009B4B57">
        <w:rPr>
          <w:rtl/>
        </w:rPr>
        <w:t xml:space="preserve"> 6536</w:t>
      </w:r>
      <w:r>
        <w:rPr>
          <w:rFonts w:hint="cs"/>
          <w:rtl/>
        </w:rPr>
        <w:t>/</w:t>
      </w:r>
      <w:r w:rsidRPr="009B4B57">
        <w:rPr>
          <w:rtl/>
        </w:rPr>
        <w:t xml:space="preserve">17 </w:t>
      </w:r>
      <w:r w:rsidRPr="009B4B57">
        <w:rPr>
          <w:rFonts w:ascii="Century" w:hAnsi="Century" w:cs="Miriam" w:hint="eastAsia"/>
          <w:b/>
          <w:spacing w:val="0"/>
          <w:sz w:val="22"/>
          <w:szCs w:val="24"/>
          <w:rtl/>
        </w:rPr>
        <w:t>התנועה</w:t>
      </w:r>
      <w:r w:rsidRPr="009B4B57">
        <w:rPr>
          <w:rFonts w:ascii="Century" w:hAnsi="Century" w:cs="Miriam"/>
          <w:b/>
          <w:spacing w:val="0"/>
          <w:sz w:val="22"/>
          <w:szCs w:val="24"/>
          <w:rtl/>
        </w:rPr>
        <w:t xml:space="preserve"> </w:t>
      </w:r>
      <w:r w:rsidRPr="009B4B57">
        <w:rPr>
          <w:rFonts w:ascii="Century" w:hAnsi="Century" w:cs="Miriam" w:hint="eastAsia"/>
          <w:b/>
          <w:spacing w:val="0"/>
          <w:sz w:val="22"/>
          <w:szCs w:val="24"/>
          <w:rtl/>
        </w:rPr>
        <w:t>למען</w:t>
      </w:r>
      <w:r w:rsidRPr="009B4B57">
        <w:rPr>
          <w:rFonts w:ascii="Century" w:hAnsi="Century" w:cs="Miriam"/>
          <w:b/>
          <w:spacing w:val="0"/>
          <w:sz w:val="22"/>
          <w:szCs w:val="24"/>
          <w:rtl/>
        </w:rPr>
        <w:t xml:space="preserve"> </w:t>
      </w:r>
      <w:r w:rsidRPr="009B4B57">
        <w:rPr>
          <w:rFonts w:ascii="Century" w:hAnsi="Century" w:cs="Miriam" w:hint="eastAsia"/>
          <w:b/>
          <w:spacing w:val="0"/>
          <w:sz w:val="22"/>
          <w:szCs w:val="24"/>
          <w:rtl/>
        </w:rPr>
        <w:t>איכות</w:t>
      </w:r>
      <w:r w:rsidRPr="009B4B57">
        <w:rPr>
          <w:rFonts w:ascii="Century" w:hAnsi="Century" w:cs="Miriam"/>
          <w:b/>
          <w:spacing w:val="0"/>
          <w:sz w:val="22"/>
          <w:szCs w:val="24"/>
          <w:rtl/>
        </w:rPr>
        <w:t xml:space="preserve"> </w:t>
      </w:r>
      <w:r w:rsidRPr="009B4B57">
        <w:rPr>
          <w:rFonts w:ascii="Century" w:hAnsi="Century" w:cs="Miriam" w:hint="eastAsia"/>
          <w:b/>
          <w:spacing w:val="0"/>
          <w:sz w:val="22"/>
          <w:szCs w:val="24"/>
          <w:rtl/>
        </w:rPr>
        <w:t>השלטון</w:t>
      </w:r>
      <w:r w:rsidRPr="009B4B57">
        <w:rPr>
          <w:rFonts w:ascii="Century" w:hAnsi="Century" w:cs="Miriam"/>
          <w:b/>
          <w:spacing w:val="0"/>
          <w:sz w:val="22"/>
          <w:szCs w:val="24"/>
          <w:rtl/>
        </w:rPr>
        <w:t xml:space="preserve"> </w:t>
      </w:r>
      <w:r w:rsidRPr="009B4B57">
        <w:rPr>
          <w:rFonts w:ascii="Century" w:hAnsi="Century" w:cs="Miriam" w:hint="eastAsia"/>
          <w:b/>
          <w:spacing w:val="0"/>
          <w:sz w:val="22"/>
          <w:szCs w:val="24"/>
          <w:rtl/>
        </w:rPr>
        <w:t>בישראל</w:t>
      </w:r>
      <w:r w:rsidRPr="009B4B57">
        <w:rPr>
          <w:rFonts w:ascii="Century" w:hAnsi="Century" w:cs="Miriam"/>
          <w:b/>
          <w:spacing w:val="0"/>
          <w:sz w:val="22"/>
          <w:szCs w:val="24"/>
          <w:rtl/>
        </w:rPr>
        <w:t xml:space="preserve"> </w:t>
      </w:r>
      <w:r w:rsidRPr="009B4B57">
        <w:rPr>
          <w:rFonts w:ascii="Century" w:hAnsi="Century" w:cs="Miriam" w:hint="eastAsia"/>
          <w:b/>
          <w:spacing w:val="0"/>
          <w:sz w:val="22"/>
          <w:szCs w:val="24"/>
          <w:rtl/>
        </w:rPr>
        <w:t>נ</w:t>
      </w:r>
      <w:r w:rsidRPr="009B4B57">
        <w:rPr>
          <w:rFonts w:ascii="Century" w:hAnsi="Century" w:cs="Miriam"/>
          <w:b/>
          <w:spacing w:val="0"/>
          <w:sz w:val="22"/>
          <w:szCs w:val="24"/>
          <w:rtl/>
        </w:rPr>
        <w:t xml:space="preserve">' </w:t>
      </w:r>
      <w:r w:rsidRPr="009B4B57">
        <w:rPr>
          <w:rFonts w:ascii="Century" w:hAnsi="Century" w:cs="Miriam" w:hint="eastAsia"/>
          <w:b/>
          <w:spacing w:val="0"/>
          <w:sz w:val="22"/>
          <w:szCs w:val="24"/>
          <w:rtl/>
        </w:rPr>
        <w:t>משטרת</w:t>
      </w:r>
      <w:r w:rsidRPr="009B4B57">
        <w:rPr>
          <w:rFonts w:ascii="Century" w:hAnsi="Century" w:cs="Miriam"/>
          <w:b/>
          <w:spacing w:val="0"/>
          <w:sz w:val="22"/>
          <w:szCs w:val="24"/>
          <w:rtl/>
        </w:rPr>
        <w:t xml:space="preserve"> </w:t>
      </w:r>
      <w:r w:rsidRPr="009B4B57">
        <w:rPr>
          <w:rFonts w:ascii="Century" w:hAnsi="Century" w:cs="Miriam" w:hint="eastAsia"/>
          <w:b/>
          <w:spacing w:val="0"/>
          <w:sz w:val="22"/>
          <w:szCs w:val="24"/>
          <w:rtl/>
        </w:rPr>
        <w:t>ישראל</w:t>
      </w:r>
      <w:r w:rsidRPr="00B97049">
        <w:rPr>
          <w:rFonts w:ascii="Century" w:hAnsi="Century" w:hint="cs"/>
          <w:sz w:val="22"/>
          <w:rtl/>
        </w:rPr>
        <w:t>,</w:t>
      </w:r>
      <w:r w:rsidRPr="009B4B57">
        <w:rPr>
          <w:rFonts w:ascii="Century" w:hAnsi="Century" w:cs="Miriam" w:hint="cs"/>
          <w:b/>
          <w:spacing w:val="0"/>
          <w:sz w:val="22"/>
          <w:szCs w:val="24"/>
          <w:rtl/>
        </w:rPr>
        <w:t xml:space="preserve"> </w:t>
      </w:r>
      <w:r>
        <w:rPr>
          <w:rFonts w:hint="cs"/>
          <w:rtl/>
        </w:rPr>
        <w:t xml:space="preserve">פסקה 12 לפסק דיני (8.10.2017); עניין </w:t>
      </w:r>
      <w:r w:rsidRPr="00816C0C">
        <w:rPr>
          <w:rFonts w:ascii="Century" w:hAnsi="Century" w:cs="Miriam" w:hint="cs"/>
          <w:b/>
          <w:spacing w:val="0"/>
          <w:sz w:val="22"/>
          <w:szCs w:val="24"/>
          <w:rtl/>
        </w:rPr>
        <w:t>א</w:t>
      </w:r>
      <w:r>
        <w:rPr>
          <w:rFonts w:ascii="Century" w:hAnsi="Century" w:cs="Miriam" w:hint="cs"/>
          <w:b/>
          <w:spacing w:val="0"/>
          <w:sz w:val="22"/>
          <w:szCs w:val="24"/>
          <w:rtl/>
        </w:rPr>
        <w:t>ב</w:t>
      </w:r>
      <w:r w:rsidRPr="00816C0C">
        <w:rPr>
          <w:rFonts w:ascii="Century" w:hAnsi="Century" w:cs="Miriam" w:hint="cs"/>
          <w:b/>
          <w:spacing w:val="0"/>
          <w:sz w:val="22"/>
          <w:szCs w:val="24"/>
          <w:rtl/>
        </w:rPr>
        <w:t>ו ערפה</w:t>
      </w:r>
      <w:r>
        <w:rPr>
          <w:rFonts w:hint="cs"/>
          <w:rtl/>
        </w:rPr>
        <w:t xml:space="preserve">, פסקה 35 לפסק דיני; ע"א 282/73 </w:t>
      </w:r>
      <w:r w:rsidRPr="00C90F67">
        <w:rPr>
          <w:rFonts w:ascii="Century" w:hAnsi="Century" w:cs="Miriam" w:hint="cs"/>
          <w:b/>
          <w:spacing w:val="0"/>
          <w:sz w:val="22"/>
          <w:szCs w:val="24"/>
          <w:rtl/>
        </w:rPr>
        <w:t>פקיד שומה נ' אריסון</w:t>
      </w:r>
      <w:r>
        <w:rPr>
          <w:rFonts w:hint="cs"/>
          <w:rtl/>
        </w:rPr>
        <w:t xml:space="preserve">, פ"ד </w:t>
      </w:r>
      <w:proofErr w:type="spellStart"/>
      <w:r>
        <w:rPr>
          <w:rFonts w:hint="cs"/>
          <w:rtl/>
        </w:rPr>
        <w:t>כח</w:t>
      </w:r>
      <w:proofErr w:type="spellEnd"/>
      <w:r>
        <w:rPr>
          <w:rFonts w:hint="cs"/>
          <w:rtl/>
        </w:rPr>
        <w:t xml:space="preserve">(1), 789, 792 (1974)). בהמשך לאמור, הובהר כי אין לבודד את המילה נושא הפרשנות מההקשר הלשוני שבו היא מצויה בהוראת החוק, מאחר שלא ניתן לעמוד על משמעותו של ביטוי אלא בהקשר המלא שלו: "דיבור שבחוק הוא יצור חי בסביבתו. הוא מקבל צביונו מהקשר הדברים" (בג"ץ 58/68 </w:t>
      </w:r>
      <w:r w:rsidRPr="005B75A3">
        <w:rPr>
          <w:rFonts w:ascii="Century" w:hAnsi="Century" w:cs="Miriam" w:hint="cs"/>
          <w:b/>
          <w:spacing w:val="0"/>
          <w:sz w:val="22"/>
          <w:szCs w:val="24"/>
          <w:rtl/>
        </w:rPr>
        <w:t>שליט נ' שר הפנים</w:t>
      </w:r>
      <w:r>
        <w:rPr>
          <w:rFonts w:hint="cs"/>
          <w:rtl/>
        </w:rPr>
        <w:t xml:space="preserve">, פ"ד </w:t>
      </w:r>
      <w:proofErr w:type="spellStart"/>
      <w:r>
        <w:rPr>
          <w:rFonts w:hint="cs"/>
          <w:rtl/>
        </w:rPr>
        <w:t>כג</w:t>
      </w:r>
      <w:proofErr w:type="spellEnd"/>
      <w:r>
        <w:rPr>
          <w:rFonts w:hint="cs"/>
          <w:rtl/>
        </w:rPr>
        <w:t xml:space="preserve">(2) 477, 513 (1970); כן ראו: </w:t>
      </w:r>
      <w:r w:rsidRPr="007D4256">
        <w:rPr>
          <w:rFonts w:hint="eastAsia"/>
          <w:rtl/>
        </w:rPr>
        <w:t>ע</w:t>
      </w:r>
      <w:r w:rsidRPr="007D4256">
        <w:rPr>
          <w:rtl/>
        </w:rPr>
        <w:t>"</w:t>
      </w:r>
      <w:r w:rsidRPr="007D4256">
        <w:rPr>
          <w:rFonts w:hint="eastAsia"/>
          <w:rtl/>
        </w:rPr>
        <w:t>א</w:t>
      </w:r>
      <w:r w:rsidRPr="007D4256">
        <w:rPr>
          <w:rtl/>
        </w:rPr>
        <w:t xml:space="preserve"> 8438/09 </w:t>
      </w:r>
      <w:proofErr w:type="spellStart"/>
      <w:r w:rsidRPr="005B75A3">
        <w:rPr>
          <w:rFonts w:ascii="Century" w:hAnsi="Century" w:cs="Miriam" w:hint="eastAsia"/>
          <w:b/>
          <w:spacing w:val="0"/>
          <w:sz w:val="22"/>
          <w:szCs w:val="24"/>
          <w:rtl/>
        </w:rPr>
        <w:t>רובאב</w:t>
      </w:r>
      <w:proofErr w:type="spellEnd"/>
      <w:r w:rsidRPr="005B75A3">
        <w:rPr>
          <w:rFonts w:ascii="Century" w:hAnsi="Century" w:cs="Miriam"/>
          <w:b/>
          <w:spacing w:val="0"/>
          <w:sz w:val="22"/>
          <w:szCs w:val="24"/>
          <w:rtl/>
        </w:rPr>
        <w:t xml:space="preserve"> </w:t>
      </w:r>
      <w:r w:rsidRPr="005B75A3">
        <w:rPr>
          <w:rFonts w:ascii="Century" w:hAnsi="Century" w:cs="Miriam" w:hint="eastAsia"/>
          <w:b/>
          <w:spacing w:val="0"/>
          <w:sz w:val="22"/>
          <w:szCs w:val="24"/>
          <w:rtl/>
        </w:rPr>
        <w:t>חברה</w:t>
      </w:r>
      <w:r w:rsidRPr="005B75A3">
        <w:rPr>
          <w:rFonts w:ascii="Century" w:hAnsi="Century" w:cs="Miriam"/>
          <w:b/>
          <w:spacing w:val="0"/>
          <w:sz w:val="22"/>
          <w:szCs w:val="24"/>
          <w:rtl/>
        </w:rPr>
        <w:t xml:space="preserve"> </w:t>
      </w:r>
      <w:r w:rsidRPr="005B75A3">
        <w:rPr>
          <w:rFonts w:ascii="Century" w:hAnsi="Century" w:cs="Miriam" w:hint="eastAsia"/>
          <w:b/>
          <w:spacing w:val="0"/>
          <w:sz w:val="22"/>
          <w:szCs w:val="24"/>
          <w:rtl/>
        </w:rPr>
        <w:t>לנכסים</w:t>
      </w:r>
      <w:r w:rsidRPr="005B75A3">
        <w:rPr>
          <w:rFonts w:ascii="Century" w:hAnsi="Century" w:cs="Miriam"/>
          <w:b/>
          <w:spacing w:val="0"/>
          <w:sz w:val="22"/>
          <w:szCs w:val="24"/>
          <w:rtl/>
        </w:rPr>
        <w:t xml:space="preserve"> </w:t>
      </w:r>
      <w:r w:rsidRPr="005B75A3">
        <w:rPr>
          <w:rFonts w:ascii="Century" w:hAnsi="Century" w:cs="Miriam" w:hint="eastAsia"/>
          <w:b/>
          <w:spacing w:val="0"/>
          <w:sz w:val="22"/>
          <w:szCs w:val="24"/>
          <w:rtl/>
        </w:rPr>
        <w:t>בע</w:t>
      </w:r>
      <w:r w:rsidRPr="005B75A3">
        <w:rPr>
          <w:rFonts w:ascii="Century" w:hAnsi="Century" w:cs="Miriam"/>
          <w:b/>
          <w:spacing w:val="0"/>
          <w:sz w:val="22"/>
          <w:szCs w:val="24"/>
          <w:rtl/>
        </w:rPr>
        <w:t>"</w:t>
      </w:r>
      <w:r w:rsidRPr="005B75A3">
        <w:rPr>
          <w:rFonts w:ascii="Century" w:hAnsi="Century" w:cs="Miriam" w:hint="eastAsia"/>
          <w:b/>
          <w:spacing w:val="0"/>
          <w:sz w:val="22"/>
          <w:szCs w:val="24"/>
          <w:rtl/>
        </w:rPr>
        <w:t>מ</w:t>
      </w:r>
      <w:r w:rsidRPr="005B75A3">
        <w:rPr>
          <w:rFonts w:ascii="Century" w:hAnsi="Century" w:cs="Miriam"/>
          <w:b/>
          <w:spacing w:val="0"/>
          <w:sz w:val="22"/>
          <w:szCs w:val="24"/>
          <w:rtl/>
        </w:rPr>
        <w:t xml:space="preserve"> </w:t>
      </w:r>
      <w:r w:rsidRPr="005B75A3">
        <w:rPr>
          <w:rFonts w:ascii="Century" w:hAnsi="Century" w:cs="Miriam" w:hint="eastAsia"/>
          <w:b/>
          <w:spacing w:val="0"/>
          <w:sz w:val="22"/>
          <w:szCs w:val="24"/>
          <w:rtl/>
        </w:rPr>
        <w:t>נ</w:t>
      </w:r>
      <w:r w:rsidRPr="005B75A3">
        <w:rPr>
          <w:rFonts w:ascii="Century" w:hAnsi="Century" w:cs="Miriam"/>
          <w:b/>
          <w:spacing w:val="0"/>
          <w:sz w:val="22"/>
          <w:szCs w:val="24"/>
          <w:rtl/>
        </w:rPr>
        <w:t xml:space="preserve">' </w:t>
      </w:r>
      <w:r w:rsidRPr="005B75A3">
        <w:rPr>
          <w:rFonts w:ascii="Century" w:hAnsi="Century" w:cs="Miriam" w:hint="eastAsia"/>
          <w:b/>
          <w:spacing w:val="0"/>
          <w:sz w:val="22"/>
          <w:szCs w:val="24"/>
          <w:rtl/>
        </w:rPr>
        <w:t>אחים</w:t>
      </w:r>
      <w:r w:rsidRPr="005B75A3">
        <w:rPr>
          <w:rFonts w:ascii="Century" w:hAnsi="Century" w:cs="Miriam"/>
          <w:b/>
          <w:spacing w:val="0"/>
          <w:sz w:val="22"/>
          <w:szCs w:val="24"/>
          <w:rtl/>
        </w:rPr>
        <w:t xml:space="preserve"> </w:t>
      </w:r>
      <w:proofErr w:type="spellStart"/>
      <w:r w:rsidRPr="005B75A3">
        <w:rPr>
          <w:rFonts w:ascii="Century" w:hAnsi="Century" w:cs="Miriam" w:hint="eastAsia"/>
          <w:b/>
          <w:spacing w:val="0"/>
          <w:sz w:val="22"/>
          <w:szCs w:val="24"/>
          <w:rtl/>
        </w:rPr>
        <w:t>דוניץ</w:t>
      </w:r>
      <w:proofErr w:type="spellEnd"/>
      <w:r w:rsidRPr="005B75A3">
        <w:rPr>
          <w:rFonts w:ascii="Century" w:hAnsi="Century" w:cs="Miriam"/>
          <w:b/>
          <w:spacing w:val="0"/>
          <w:sz w:val="22"/>
          <w:szCs w:val="24"/>
          <w:rtl/>
        </w:rPr>
        <w:t xml:space="preserve"> </w:t>
      </w:r>
      <w:r w:rsidRPr="005B75A3">
        <w:rPr>
          <w:rFonts w:ascii="Century" w:hAnsi="Century" w:cs="Miriam" w:hint="eastAsia"/>
          <w:b/>
          <w:spacing w:val="0"/>
          <w:sz w:val="22"/>
          <w:szCs w:val="24"/>
          <w:rtl/>
        </w:rPr>
        <w:t>בע</w:t>
      </w:r>
      <w:r w:rsidRPr="005B75A3">
        <w:rPr>
          <w:rFonts w:ascii="Century" w:hAnsi="Century" w:cs="Miriam"/>
          <w:b/>
          <w:spacing w:val="0"/>
          <w:sz w:val="22"/>
          <w:szCs w:val="24"/>
          <w:rtl/>
        </w:rPr>
        <w:t>"</w:t>
      </w:r>
      <w:r w:rsidRPr="005B75A3">
        <w:rPr>
          <w:rFonts w:ascii="Century" w:hAnsi="Century" w:cs="Miriam" w:hint="eastAsia"/>
          <w:b/>
          <w:spacing w:val="0"/>
          <w:sz w:val="22"/>
          <w:szCs w:val="24"/>
          <w:rtl/>
        </w:rPr>
        <w:t>מ</w:t>
      </w:r>
      <w:r w:rsidRPr="007D4256">
        <w:rPr>
          <w:rtl/>
        </w:rPr>
        <w:t>,</w:t>
      </w:r>
      <w:r>
        <w:rPr>
          <w:rFonts w:hint="cs"/>
          <w:rtl/>
        </w:rPr>
        <w:t xml:space="preserve"> פ"ד סה(2) 635, 657 (2012); בג"ץ 310/82 </w:t>
      </w:r>
      <w:r w:rsidRPr="005B75A3">
        <w:rPr>
          <w:rFonts w:ascii="Century" w:hAnsi="Century" w:cs="Miriam" w:hint="cs"/>
          <w:b/>
          <w:spacing w:val="0"/>
          <w:sz w:val="22"/>
          <w:szCs w:val="24"/>
          <w:rtl/>
        </w:rPr>
        <w:t>בן צבי נ' ראש הממשלה</w:t>
      </w:r>
      <w:r>
        <w:rPr>
          <w:rFonts w:hint="cs"/>
          <w:rtl/>
        </w:rPr>
        <w:t xml:space="preserve">, פ"ד לו(4), 191, 194 (1982); ע"פ 428/74 </w:t>
      </w:r>
      <w:r w:rsidRPr="005B75A3">
        <w:rPr>
          <w:rFonts w:ascii="Century" w:hAnsi="Century" w:cs="Miriam" w:hint="cs"/>
          <w:b/>
          <w:spacing w:val="0"/>
          <w:sz w:val="22"/>
          <w:szCs w:val="24"/>
          <w:rtl/>
        </w:rPr>
        <w:t>דבש נ' עיריית ירושלים</w:t>
      </w:r>
      <w:r>
        <w:rPr>
          <w:rFonts w:hint="cs"/>
          <w:rtl/>
        </w:rPr>
        <w:t xml:space="preserve">, פ"ד </w:t>
      </w:r>
      <w:proofErr w:type="spellStart"/>
      <w:r>
        <w:rPr>
          <w:rFonts w:hint="cs"/>
          <w:rtl/>
        </w:rPr>
        <w:t>כט</w:t>
      </w:r>
      <w:proofErr w:type="spellEnd"/>
      <w:r>
        <w:rPr>
          <w:rFonts w:hint="cs"/>
          <w:rtl/>
        </w:rPr>
        <w:t>(2) 23, 25 (1974); ברק, פרשנות החקיקה, בעמ' 108-104).</w:t>
      </w:r>
    </w:p>
    <w:p w:rsidR="0046011D" w:rsidRDefault="0046011D" w:rsidP="0046011D">
      <w:pPr>
        <w:pStyle w:val="Ruller4"/>
        <w:numPr>
          <w:ilvl w:val="0"/>
          <w:numId w:val="0"/>
        </w:numPr>
      </w:pPr>
    </w:p>
    <w:p w:rsidR="0046011D" w:rsidRDefault="0046011D" w:rsidP="0046011D">
      <w:pPr>
        <w:pStyle w:val="Ruller4"/>
      </w:pPr>
      <w:r>
        <w:rPr>
          <w:rFonts w:hint="cs"/>
          <w:rtl/>
        </w:rPr>
        <w:t xml:space="preserve"> בהתאם לכללים האמורים, לא פעם קבע בית משפט זה כי גם פרשנות שונה מהפרשנות הרגילה והפשוטה של ביטוי בשפה העברית עשויה לבוא בגדרי מתחם הפרשנויות הלשונית האפשרויות. כך למשל נקבע בעבר כי הביטוי "</w:t>
      </w:r>
      <w:r w:rsidRPr="005B75A3">
        <w:rPr>
          <w:rFonts w:hint="eastAsia"/>
          <w:rtl/>
        </w:rPr>
        <w:t>מכל</w:t>
      </w:r>
      <w:r w:rsidRPr="005B75A3">
        <w:rPr>
          <w:rtl/>
        </w:rPr>
        <w:t xml:space="preserve"> </w:t>
      </w:r>
      <w:r w:rsidRPr="005B75A3">
        <w:rPr>
          <w:rFonts w:hint="eastAsia"/>
          <w:rtl/>
        </w:rPr>
        <w:t>סיבה</w:t>
      </w:r>
      <w:r w:rsidRPr="005B75A3">
        <w:rPr>
          <w:rtl/>
        </w:rPr>
        <w:t xml:space="preserve"> </w:t>
      </w:r>
      <w:r w:rsidRPr="005B75A3">
        <w:rPr>
          <w:rFonts w:hint="eastAsia"/>
          <w:rtl/>
        </w:rPr>
        <w:t>שהיא</w:t>
      </w:r>
      <w:r w:rsidRPr="005B75A3">
        <w:rPr>
          <w:rtl/>
        </w:rPr>
        <w:t>"</w:t>
      </w:r>
      <w:r>
        <w:rPr>
          <w:rFonts w:hint="cs"/>
          <w:rtl/>
        </w:rPr>
        <w:t xml:space="preserve"> עשוי לקבל פרשנות מצמצמת, לפי ההקשר הלשוני שבו מצויה הוראת החוק (עניין </w:t>
      </w:r>
      <w:r w:rsidRPr="005B75A3">
        <w:rPr>
          <w:rFonts w:ascii="Century" w:hAnsi="Century" w:cs="Miriam" w:hint="cs"/>
          <w:b/>
          <w:spacing w:val="0"/>
          <w:sz w:val="22"/>
          <w:szCs w:val="24"/>
          <w:rtl/>
        </w:rPr>
        <w:t>ברק</w:t>
      </w:r>
      <w:r>
        <w:rPr>
          <w:rFonts w:hint="cs"/>
          <w:rtl/>
        </w:rPr>
        <w:t xml:space="preserve">, בעמ' 10; כן ראו: ע"א 2738/90 </w:t>
      </w:r>
      <w:r w:rsidRPr="005B75A3">
        <w:rPr>
          <w:rFonts w:ascii="Century" w:hAnsi="Century" w:cs="Miriam" w:hint="cs"/>
          <w:b/>
          <w:spacing w:val="0"/>
          <w:sz w:val="22"/>
          <w:szCs w:val="24"/>
          <w:rtl/>
        </w:rPr>
        <w:t>יהב נ' בן טובים</w:t>
      </w:r>
      <w:r>
        <w:rPr>
          <w:rFonts w:hint="cs"/>
          <w:rtl/>
        </w:rPr>
        <w:t xml:space="preserve">, פ"ד </w:t>
      </w:r>
      <w:proofErr w:type="spellStart"/>
      <w:r>
        <w:rPr>
          <w:rFonts w:hint="cs"/>
          <w:rtl/>
        </w:rPr>
        <w:t>מז</w:t>
      </w:r>
      <w:proofErr w:type="spellEnd"/>
      <w:r>
        <w:rPr>
          <w:rFonts w:hint="cs"/>
          <w:rtl/>
        </w:rPr>
        <w:t xml:space="preserve">(1) 695, 701 (1993)). עוד הובהר כי אף שהמשמעות המילולית הרגילה של הביטוי "רשאי" היא היתר שכורך בתוכו רכיב של שיקול דעת, ומשמעותו המילולית הרגילה של הביטוי "חייב" היא חובה לבצע פעולה ללא שיקול דעת, ההקשר הפנימי עשוי להוליך את הפרשן למסקנה כי הביטוי "רשאי" יתפרש כמטיל חובה, והביטוי "חייב" </w:t>
      </w:r>
      <w:r w:rsidRPr="00F348BD">
        <w:rPr>
          <w:rFonts w:hint="eastAsia"/>
          <w:rtl/>
        </w:rPr>
        <w:t>כמותנה</w:t>
      </w:r>
      <w:r w:rsidRPr="00F348BD">
        <w:rPr>
          <w:rtl/>
        </w:rPr>
        <w:t xml:space="preserve"> </w:t>
      </w:r>
      <w:r>
        <w:rPr>
          <w:rFonts w:hint="eastAsia"/>
          <w:rtl/>
        </w:rPr>
        <w:t>ב</w:t>
      </w:r>
      <w:r w:rsidRPr="00F348BD">
        <w:rPr>
          <w:rFonts w:hint="eastAsia"/>
          <w:rtl/>
        </w:rPr>
        <w:t>שיקול</w:t>
      </w:r>
      <w:r w:rsidRPr="00F348BD">
        <w:rPr>
          <w:rtl/>
        </w:rPr>
        <w:t xml:space="preserve"> </w:t>
      </w:r>
      <w:r w:rsidRPr="00F348BD">
        <w:rPr>
          <w:rFonts w:hint="eastAsia"/>
          <w:rtl/>
        </w:rPr>
        <w:t>דעת</w:t>
      </w:r>
      <w:r w:rsidRPr="00F348BD">
        <w:rPr>
          <w:rFonts w:hint="cs"/>
          <w:rtl/>
        </w:rPr>
        <w:t xml:space="preserve"> </w:t>
      </w:r>
      <w:r>
        <w:rPr>
          <w:rFonts w:hint="cs"/>
          <w:rtl/>
        </w:rPr>
        <w:t>(ראו, מני רבים: ע</w:t>
      </w:r>
      <w:r w:rsidRPr="003E4F42">
        <w:rPr>
          <w:rtl/>
        </w:rPr>
        <w:t>"</w:t>
      </w:r>
      <w:r w:rsidRPr="003E4F42">
        <w:rPr>
          <w:rFonts w:hint="eastAsia"/>
          <w:rtl/>
        </w:rPr>
        <w:t>א</w:t>
      </w:r>
      <w:r w:rsidRPr="003E4F42">
        <w:rPr>
          <w:rtl/>
        </w:rPr>
        <w:t xml:space="preserve"> 8622/07 </w:t>
      </w:r>
      <w:proofErr w:type="spellStart"/>
      <w:r w:rsidRPr="008570CE">
        <w:rPr>
          <w:rFonts w:ascii="Century" w:hAnsi="Century" w:cs="Miriam" w:hint="eastAsia"/>
          <w:b/>
          <w:spacing w:val="0"/>
          <w:sz w:val="22"/>
          <w:szCs w:val="24"/>
          <w:rtl/>
        </w:rPr>
        <w:t>רוטמן</w:t>
      </w:r>
      <w:proofErr w:type="spellEnd"/>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נ</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מע</w:t>
      </w:r>
      <w:r w:rsidRPr="008570CE">
        <w:rPr>
          <w:rFonts w:ascii="Century" w:hAnsi="Century" w:cs="Miriam"/>
          <w:b/>
          <w:spacing w:val="0"/>
          <w:sz w:val="22"/>
          <w:szCs w:val="24"/>
          <w:rtl/>
        </w:rPr>
        <w:t>"</w:t>
      </w:r>
      <w:r w:rsidRPr="008570CE">
        <w:rPr>
          <w:rFonts w:ascii="Century" w:hAnsi="Century" w:cs="Miriam" w:hint="eastAsia"/>
          <w:b/>
          <w:spacing w:val="0"/>
          <w:sz w:val="22"/>
          <w:szCs w:val="24"/>
          <w:rtl/>
        </w:rPr>
        <w:t>צ</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החברה</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הלאומית</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לדרכים</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בישראל</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בע</w:t>
      </w:r>
      <w:r w:rsidRPr="008570CE">
        <w:rPr>
          <w:rFonts w:ascii="Century" w:hAnsi="Century" w:cs="Miriam"/>
          <w:b/>
          <w:spacing w:val="0"/>
          <w:sz w:val="22"/>
          <w:szCs w:val="24"/>
          <w:rtl/>
        </w:rPr>
        <w:t>"</w:t>
      </w:r>
      <w:r w:rsidRPr="008570CE">
        <w:rPr>
          <w:rFonts w:ascii="Century" w:hAnsi="Century" w:cs="Miriam" w:hint="eastAsia"/>
          <w:b/>
          <w:spacing w:val="0"/>
          <w:sz w:val="22"/>
          <w:szCs w:val="24"/>
          <w:rtl/>
        </w:rPr>
        <w:t>מ</w:t>
      </w:r>
      <w:r w:rsidRPr="003E4F42">
        <w:rPr>
          <w:rtl/>
        </w:rPr>
        <w:t>,</w:t>
      </w:r>
      <w:r w:rsidRPr="003E4F42">
        <w:rPr>
          <w:rFonts w:hint="cs"/>
          <w:rtl/>
        </w:rPr>
        <w:t xml:space="preserve"> </w:t>
      </w:r>
      <w:r w:rsidRPr="003E4F42">
        <w:rPr>
          <w:rFonts w:hint="eastAsia"/>
          <w:rtl/>
        </w:rPr>
        <w:t>פסקה</w:t>
      </w:r>
      <w:r w:rsidRPr="003E4F42">
        <w:rPr>
          <w:rtl/>
        </w:rPr>
        <w:t xml:space="preserve"> </w:t>
      </w:r>
      <w:r>
        <w:rPr>
          <w:rFonts w:hint="cs"/>
          <w:rtl/>
        </w:rPr>
        <w:t>40</w:t>
      </w:r>
      <w:r w:rsidRPr="003E4F42">
        <w:rPr>
          <w:rtl/>
        </w:rPr>
        <w:t xml:space="preserve"> (14.5.2012)</w:t>
      </w:r>
      <w:r>
        <w:rPr>
          <w:rFonts w:hint="cs"/>
          <w:rtl/>
        </w:rPr>
        <w:t>; ב</w:t>
      </w:r>
      <w:r w:rsidRPr="00F348BD">
        <w:rPr>
          <w:rFonts w:hint="eastAsia"/>
          <w:rtl/>
        </w:rPr>
        <w:t>ג</w:t>
      </w:r>
      <w:r w:rsidRPr="00F348BD">
        <w:rPr>
          <w:rtl/>
        </w:rPr>
        <w:t>"</w:t>
      </w:r>
      <w:r w:rsidRPr="00F348BD">
        <w:rPr>
          <w:rFonts w:hint="eastAsia"/>
          <w:rtl/>
        </w:rPr>
        <w:t>ץ</w:t>
      </w:r>
      <w:r w:rsidRPr="00F348BD">
        <w:rPr>
          <w:rtl/>
        </w:rPr>
        <w:t xml:space="preserve"> 6446/96 </w:t>
      </w:r>
      <w:r w:rsidRPr="008570CE">
        <w:rPr>
          <w:rFonts w:ascii="Century" w:hAnsi="Century" w:cs="Miriam" w:hint="eastAsia"/>
          <w:b/>
          <w:spacing w:val="0"/>
          <w:sz w:val="22"/>
          <w:szCs w:val="24"/>
          <w:rtl/>
        </w:rPr>
        <w:t>העמותה</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למען</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החתול</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נ</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עיריית</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ערד</w:t>
      </w:r>
      <w:r w:rsidRPr="00F348BD">
        <w:rPr>
          <w:rtl/>
        </w:rPr>
        <w:t xml:space="preserve">, </w:t>
      </w:r>
      <w:r w:rsidRPr="00F348BD">
        <w:rPr>
          <w:rFonts w:hint="eastAsia"/>
          <w:rtl/>
        </w:rPr>
        <w:t>פ</w:t>
      </w:r>
      <w:r w:rsidRPr="00F348BD">
        <w:rPr>
          <w:rtl/>
        </w:rPr>
        <w:t>"</w:t>
      </w:r>
      <w:r w:rsidRPr="00F348BD">
        <w:rPr>
          <w:rFonts w:hint="eastAsia"/>
          <w:rtl/>
        </w:rPr>
        <w:t>ד</w:t>
      </w:r>
      <w:r w:rsidRPr="00F348BD">
        <w:rPr>
          <w:rtl/>
        </w:rPr>
        <w:t xml:space="preserve"> </w:t>
      </w:r>
      <w:proofErr w:type="spellStart"/>
      <w:r w:rsidRPr="00F348BD">
        <w:rPr>
          <w:rFonts w:hint="eastAsia"/>
          <w:rtl/>
        </w:rPr>
        <w:t>נה</w:t>
      </w:r>
      <w:proofErr w:type="spellEnd"/>
      <w:r w:rsidRPr="00F348BD">
        <w:rPr>
          <w:rtl/>
        </w:rPr>
        <w:t>(1) 769, 809 (1998)</w:t>
      </w:r>
      <w:r>
        <w:rPr>
          <w:rFonts w:hint="cs"/>
          <w:rtl/>
        </w:rPr>
        <w:t xml:space="preserve">; </w:t>
      </w:r>
      <w:r w:rsidRPr="008570CE">
        <w:rPr>
          <w:rFonts w:hint="eastAsia"/>
          <w:rtl/>
        </w:rPr>
        <w:t>בג</w:t>
      </w:r>
      <w:r w:rsidRPr="008570CE">
        <w:rPr>
          <w:rtl/>
        </w:rPr>
        <w:t>"</w:t>
      </w:r>
      <w:r w:rsidRPr="008570CE">
        <w:rPr>
          <w:rFonts w:hint="eastAsia"/>
          <w:rtl/>
        </w:rPr>
        <w:t>ץ</w:t>
      </w:r>
      <w:r w:rsidRPr="008570CE">
        <w:rPr>
          <w:rtl/>
        </w:rPr>
        <w:t xml:space="preserve"> 292/65 </w:t>
      </w:r>
      <w:proofErr w:type="spellStart"/>
      <w:r w:rsidRPr="008570CE">
        <w:rPr>
          <w:rFonts w:ascii="Century" w:hAnsi="Century" w:cs="Miriam" w:hint="eastAsia"/>
          <w:b/>
          <w:spacing w:val="0"/>
          <w:sz w:val="22"/>
          <w:szCs w:val="24"/>
          <w:rtl/>
        </w:rPr>
        <w:t>רושגולד</w:t>
      </w:r>
      <w:proofErr w:type="spellEnd"/>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נ</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שר</w:t>
      </w:r>
      <w:r w:rsidRPr="008570CE">
        <w:rPr>
          <w:rFonts w:ascii="Century" w:hAnsi="Century" w:cs="Miriam"/>
          <w:b/>
          <w:spacing w:val="0"/>
          <w:sz w:val="22"/>
          <w:szCs w:val="24"/>
          <w:rtl/>
        </w:rPr>
        <w:t xml:space="preserve"> </w:t>
      </w:r>
      <w:r w:rsidRPr="008570CE">
        <w:rPr>
          <w:rFonts w:ascii="Century" w:hAnsi="Century" w:cs="Miriam" w:hint="eastAsia"/>
          <w:b/>
          <w:spacing w:val="0"/>
          <w:sz w:val="22"/>
          <w:szCs w:val="24"/>
          <w:rtl/>
        </w:rPr>
        <w:t>האוצר</w:t>
      </w:r>
      <w:r w:rsidRPr="008570CE">
        <w:rPr>
          <w:rFonts w:ascii="Century" w:hAnsi="Century" w:cs="Miriam"/>
          <w:b/>
          <w:spacing w:val="0"/>
          <w:sz w:val="22"/>
          <w:szCs w:val="24"/>
          <w:rtl/>
        </w:rPr>
        <w:t>,</w:t>
      </w:r>
      <w:r w:rsidRPr="008570CE">
        <w:rPr>
          <w:rtl/>
        </w:rPr>
        <w:t xml:space="preserve"> </w:t>
      </w:r>
      <w:proofErr w:type="spellStart"/>
      <w:r w:rsidRPr="008570CE">
        <w:rPr>
          <w:rFonts w:hint="eastAsia"/>
          <w:rtl/>
        </w:rPr>
        <w:t>פ</w:t>
      </w:r>
      <w:r w:rsidRPr="008570CE">
        <w:rPr>
          <w:rtl/>
        </w:rPr>
        <w:t>"</w:t>
      </w:r>
      <w:r w:rsidRPr="008570CE">
        <w:rPr>
          <w:rFonts w:hint="eastAsia"/>
          <w:rtl/>
        </w:rPr>
        <w:t>מ</w:t>
      </w:r>
      <w:proofErr w:type="spellEnd"/>
      <w:r w:rsidRPr="008570CE">
        <w:rPr>
          <w:rtl/>
        </w:rPr>
        <w:t xml:space="preserve"> </w:t>
      </w:r>
      <w:r w:rsidRPr="008570CE">
        <w:rPr>
          <w:rFonts w:hint="eastAsia"/>
          <w:rtl/>
        </w:rPr>
        <w:t>כ</w:t>
      </w:r>
      <w:r w:rsidRPr="008570CE">
        <w:rPr>
          <w:rtl/>
        </w:rPr>
        <w:t>(1) 639, 640 (1966)</w:t>
      </w:r>
      <w:r>
        <w:rPr>
          <w:rFonts w:hint="cs"/>
          <w:rtl/>
        </w:rPr>
        <w:t>; כן ראו:</w:t>
      </w:r>
      <w:r w:rsidRPr="00F348BD">
        <w:rPr>
          <w:rtl/>
        </w:rPr>
        <w:t xml:space="preserve"> </w:t>
      </w:r>
      <w:r>
        <w:rPr>
          <w:rFonts w:hint="cs"/>
          <w:rtl/>
        </w:rPr>
        <w:t xml:space="preserve">ברק, תורת החקיקה, בעמ' 120). בנוסף לאמור, הובהר כי אף שהמשמעות הרגילה בשפה </w:t>
      </w:r>
      <w:r>
        <w:rPr>
          <w:rFonts w:hint="cs"/>
          <w:rtl/>
        </w:rPr>
        <w:lastRenderedPageBreak/>
        <w:t>העברית של המונח "ו" היא של חיבור והמשמעות הרגילה של המונח "או" היא להפריד, ניתן לפרש ביטויים אלה כדו-משמעיים (</w:t>
      </w:r>
      <w:proofErr w:type="spellStart"/>
      <w:r>
        <w:rPr>
          <w:rFonts w:hint="cs"/>
          <w:rtl/>
        </w:rPr>
        <w:t>בר"ם</w:t>
      </w:r>
      <w:proofErr w:type="spellEnd"/>
      <w:r>
        <w:rPr>
          <w:rFonts w:hint="cs"/>
          <w:rtl/>
        </w:rPr>
        <w:t xml:space="preserve"> 9231/20 </w:t>
      </w:r>
      <w:r w:rsidRPr="00544CFB">
        <w:rPr>
          <w:rFonts w:ascii="Century" w:hAnsi="Century" w:cs="Miriam" w:hint="cs"/>
          <w:b/>
          <w:spacing w:val="0"/>
          <w:sz w:val="22"/>
          <w:szCs w:val="24"/>
          <w:rtl/>
        </w:rPr>
        <w:t xml:space="preserve">הוועדה המקומית לתכנון ובנייה רמלה נ' </w:t>
      </w:r>
      <w:r w:rsidRPr="00544CFB">
        <w:rPr>
          <w:rFonts w:ascii="Century" w:hAnsi="Century" w:cs="Miriam" w:hint="eastAsia"/>
          <w:b/>
          <w:spacing w:val="0"/>
          <w:sz w:val="22"/>
          <w:szCs w:val="24"/>
          <w:rtl/>
        </w:rPr>
        <w:t>הכנסייה</w:t>
      </w:r>
      <w:r w:rsidRPr="00544CFB">
        <w:rPr>
          <w:rFonts w:ascii="Century" w:hAnsi="Century" w:cs="Miriam"/>
          <w:b/>
          <w:spacing w:val="0"/>
          <w:sz w:val="22"/>
          <w:szCs w:val="24"/>
          <w:rtl/>
        </w:rPr>
        <w:t xml:space="preserve"> </w:t>
      </w:r>
      <w:r w:rsidRPr="00544CFB">
        <w:rPr>
          <w:rFonts w:ascii="Century" w:hAnsi="Century" w:cs="Miriam" w:hint="eastAsia"/>
          <w:b/>
          <w:spacing w:val="0"/>
          <w:sz w:val="22"/>
          <w:szCs w:val="24"/>
          <w:rtl/>
        </w:rPr>
        <w:t>האוונגלית</w:t>
      </w:r>
      <w:r w:rsidRPr="00544CFB">
        <w:rPr>
          <w:rFonts w:ascii="Century" w:hAnsi="Century" w:cs="Miriam"/>
          <w:b/>
          <w:spacing w:val="0"/>
          <w:sz w:val="22"/>
          <w:szCs w:val="24"/>
          <w:rtl/>
        </w:rPr>
        <w:t xml:space="preserve"> </w:t>
      </w:r>
      <w:proofErr w:type="spellStart"/>
      <w:r w:rsidRPr="00544CFB">
        <w:rPr>
          <w:rFonts w:ascii="Century" w:hAnsi="Century" w:cs="Miriam" w:hint="eastAsia"/>
          <w:b/>
          <w:spacing w:val="0"/>
          <w:sz w:val="22"/>
          <w:szCs w:val="24"/>
          <w:rtl/>
        </w:rPr>
        <w:t>האפיסקופלית</w:t>
      </w:r>
      <w:proofErr w:type="spellEnd"/>
      <w:r w:rsidRPr="00544CFB">
        <w:rPr>
          <w:rFonts w:ascii="Century" w:hAnsi="Century" w:cs="Miriam"/>
          <w:b/>
          <w:spacing w:val="0"/>
          <w:sz w:val="22"/>
          <w:szCs w:val="24"/>
          <w:rtl/>
        </w:rPr>
        <w:t xml:space="preserve"> </w:t>
      </w:r>
      <w:r w:rsidRPr="00544CFB">
        <w:rPr>
          <w:rFonts w:ascii="Century" w:hAnsi="Century" w:cs="Miriam" w:hint="eastAsia"/>
          <w:b/>
          <w:spacing w:val="0"/>
          <w:sz w:val="22"/>
          <w:szCs w:val="24"/>
          <w:rtl/>
        </w:rPr>
        <w:t>בירושלים</w:t>
      </w:r>
      <w:r>
        <w:rPr>
          <w:rFonts w:ascii="Century" w:hAnsi="Century" w:cs="Miriam" w:hint="cs"/>
          <w:b/>
          <w:spacing w:val="0"/>
          <w:sz w:val="22"/>
          <w:szCs w:val="24"/>
          <w:rtl/>
        </w:rPr>
        <w:t xml:space="preserve">, </w:t>
      </w:r>
      <w:r>
        <w:rPr>
          <w:rFonts w:ascii="Century" w:hAnsi="Century" w:hint="cs"/>
          <w:sz w:val="22"/>
          <w:rtl/>
        </w:rPr>
        <w:t>פסקאות 51-50 (13.8.2023);</w:t>
      </w:r>
      <w:r w:rsidRPr="00544CFB">
        <w:rPr>
          <w:rFonts w:ascii="Century" w:hAnsi="Century" w:cs="Miriam" w:hint="cs"/>
          <w:b/>
          <w:spacing w:val="0"/>
          <w:sz w:val="22"/>
          <w:szCs w:val="24"/>
          <w:rtl/>
        </w:rPr>
        <w:t xml:space="preserve"> </w:t>
      </w:r>
      <w:r>
        <w:rPr>
          <w:rFonts w:hint="cs"/>
          <w:rtl/>
        </w:rPr>
        <w:t xml:space="preserve"> בג"ץ 157/63 </w:t>
      </w:r>
      <w:proofErr w:type="spellStart"/>
      <w:r w:rsidRPr="008570CE">
        <w:rPr>
          <w:rFonts w:ascii="Century" w:hAnsi="Century" w:cs="Miriam" w:hint="cs"/>
          <w:b/>
          <w:spacing w:val="0"/>
          <w:sz w:val="22"/>
          <w:szCs w:val="24"/>
          <w:rtl/>
        </w:rPr>
        <w:t>בוקסבאום</w:t>
      </w:r>
      <w:proofErr w:type="spellEnd"/>
      <w:r w:rsidRPr="008570CE">
        <w:rPr>
          <w:rFonts w:ascii="Century" w:hAnsi="Century" w:cs="Miriam" w:hint="cs"/>
          <w:b/>
          <w:spacing w:val="0"/>
          <w:sz w:val="22"/>
          <w:szCs w:val="24"/>
          <w:rtl/>
        </w:rPr>
        <w:t xml:space="preserve"> נ' שר האוצר</w:t>
      </w:r>
      <w:r>
        <w:rPr>
          <w:rFonts w:hint="cs"/>
          <w:rtl/>
        </w:rPr>
        <w:t xml:space="preserve">, פ"ד </w:t>
      </w:r>
      <w:proofErr w:type="spellStart"/>
      <w:r>
        <w:rPr>
          <w:rFonts w:hint="cs"/>
          <w:rtl/>
        </w:rPr>
        <w:t>יח</w:t>
      </w:r>
      <w:proofErr w:type="spellEnd"/>
      <w:r>
        <w:rPr>
          <w:rFonts w:hint="cs"/>
          <w:rtl/>
        </w:rPr>
        <w:t xml:space="preserve">(1) 115, 124 (1964); ברק, תורת החקיקה, בעמ' 119)).   </w:t>
      </w:r>
    </w:p>
    <w:p w:rsidR="0046011D" w:rsidRPr="005B75A3" w:rsidRDefault="0046011D" w:rsidP="0046011D">
      <w:pPr>
        <w:pStyle w:val="Ruller4"/>
        <w:numPr>
          <w:ilvl w:val="0"/>
          <w:numId w:val="0"/>
        </w:numPr>
      </w:pPr>
    </w:p>
    <w:p w:rsidR="0046011D" w:rsidRDefault="0046011D" w:rsidP="0046011D">
      <w:pPr>
        <w:pStyle w:val="Ruller4"/>
      </w:pPr>
      <w:r>
        <w:rPr>
          <w:rFonts w:hint="cs"/>
          <w:rtl/>
        </w:rPr>
        <w:t xml:space="preserve">הנה כי כן, השאלה שלפנינו אינה מה משמעות הביטוי "איש ואשתו" בשפה העברית, קרי, מהי המשמעות המילולית של הביטוי כשלעצמה; עלינו לשאול מהו המסר הנורמטיבי הטמון בביטוי זה, בשים לב להקשר הלשוני הפנימי שלו בחוק האימוץ </w:t>
      </w:r>
      <w:r>
        <w:rPr>
          <w:rtl/>
        </w:rPr>
        <w:t>–</w:t>
      </w:r>
      <w:r>
        <w:rPr>
          <w:rFonts w:hint="cs"/>
          <w:rtl/>
        </w:rPr>
        <w:t xml:space="preserve"> זו המשמעות המשפטית העולה מן החוק (וראו: עניין </w:t>
      </w:r>
      <w:r w:rsidRPr="00544CFB">
        <w:rPr>
          <w:rFonts w:ascii="Century" w:hAnsi="Century" w:cs="Miriam" w:hint="cs"/>
          <w:b/>
          <w:spacing w:val="0"/>
          <w:sz w:val="22"/>
          <w:szCs w:val="24"/>
          <w:rtl/>
        </w:rPr>
        <w:t>אבו ערפה</w:t>
      </w:r>
      <w:r>
        <w:rPr>
          <w:rFonts w:hint="cs"/>
          <w:rtl/>
        </w:rPr>
        <w:t xml:space="preserve">, פסקה 35; עניין </w:t>
      </w:r>
      <w:r w:rsidRPr="00544CFB">
        <w:rPr>
          <w:rFonts w:ascii="Century" w:hAnsi="Century" w:cs="Miriam" w:hint="cs"/>
          <w:b/>
          <w:spacing w:val="0"/>
          <w:sz w:val="22"/>
          <w:szCs w:val="24"/>
          <w:rtl/>
        </w:rPr>
        <w:t>ברק</w:t>
      </w:r>
      <w:r>
        <w:rPr>
          <w:rFonts w:hint="cs"/>
          <w:rtl/>
        </w:rPr>
        <w:t>, בעמ' 10). סבורני כי</w:t>
      </w:r>
      <w:r w:rsidRPr="001E0A4F">
        <w:rPr>
          <w:rtl/>
        </w:rPr>
        <w:t xml:space="preserve"> </w:t>
      </w:r>
      <w:r>
        <w:rPr>
          <w:rFonts w:hint="cs"/>
          <w:rtl/>
        </w:rPr>
        <w:t xml:space="preserve">בחינת הביטוי בהקשרו מלמדת כי במובן הנורמטיבי </w:t>
      </w:r>
      <w:r>
        <w:rPr>
          <w:rtl/>
        </w:rPr>
        <w:t>–</w:t>
      </w:r>
      <w:r>
        <w:rPr>
          <w:rFonts w:hint="cs"/>
          <w:rtl/>
        </w:rPr>
        <w:t xml:space="preserve"> להבדיל מהמובן הלשוני גרידא </w:t>
      </w:r>
      <w:r>
        <w:rPr>
          <w:rtl/>
        </w:rPr>
        <w:t>–</w:t>
      </w:r>
      <w:r>
        <w:rPr>
          <w:rFonts w:hint="cs"/>
          <w:rtl/>
        </w:rPr>
        <w:t xml:space="preserve"> התזה הפרשנית שלפיה גם בני זוג מאותו מין באים בגדרי הסעיף היא פרשנות לשונית אפשרית. כפי שתואר לעיל, סעיף 3 רישא קובע כי ברירת המחדל היא שאימוץ ייעשה על ידי "איש ואשתו יחד"; לצד זאת, בהמשכו של המשפט מובהר כי בית המשפט רשאי לאפשר אימוץ גם על ידי "מאמץ יחיד", אך זאת בתנאים שמפורטים בסעיפים 3(1) ו-3(2). קרי, הביטויים "איש ואשתו יחד" ו"מאמץ יחיד" מוצבים במשפט כחלופות שונות ונבדלות. מכך עולה כי לשון הסעיף יוצרת הבחנה בין שתי קטגוריות כלליות: מי שמשתייך למסגרת משפחתית שכוללת זוג הורים, לעומת מי שמבקש לאמץ לתוך מסגרת משפחתית חד הורית. לפיכך, הגורם המכריע לשאלת ההשתייכות לאחת הקטגוריות הוא קיומו או היעדרו של בן זוג. פרשנות זו מתחזקת גם בכך שהסעיף לא מסתפק אך בסטטוס הזוגי "איש ואשתו" כתנאי לכשירות המאמצים, אלא מדגיש כי על האימוץ להיעשות על ידי שניהם, "יחד". אף בכך יש לסייע לנו בחילוץ המשמעות של המונח, שכן תוספת זו מלמדת כי מרכז הכובד הלשוני שטמון בו הוא שמדובר באימוץ שאינו על ידי היחיד לבדו. הדגש הוא על מערכת זוגית יציבה אליה יימסר הילד, להבדיל מהסטטוס הפורמלי של בני הזוג והמאפיינים הצורניים של הזוגיות.</w:t>
      </w:r>
    </w:p>
    <w:p w:rsidR="0046011D" w:rsidRDefault="0046011D" w:rsidP="0046011D">
      <w:pPr>
        <w:pStyle w:val="Ruller4"/>
        <w:numPr>
          <w:ilvl w:val="0"/>
          <w:numId w:val="0"/>
        </w:numPr>
      </w:pPr>
      <w:r>
        <w:rPr>
          <w:rFonts w:hint="cs"/>
          <w:rtl/>
        </w:rPr>
        <w:t xml:space="preserve"> נוכח האמור, סבורני כי הקשרו הפנימי והמבנה הלשוני של סעיף 3 רישא מוליכים למסקנה כי יש לקבוע כי פרשנות לשונית אפשרית היא כי בני זוג מאותו מין באים בגדרי הסעיף, אף כי פרשנות זו מתיישבת בצורה טבעית פחות עם תחושת הלשון. </w:t>
      </w:r>
    </w:p>
    <w:p w:rsidR="0046011D" w:rsidRPr="001A30F5" w:rsidRDefault="0046011D" w:rsidP="0046011D">
      <w:pPr>
        <w:pStyle w:val="Ruller4"/>
        <w:numPr>
          <w:ilvl w:val="0"/>
          <w:numId w:val="0"/>
        </w:numPr>
      </w:pPr>
    </w:p>
    <w:p w:rsidR="0046011D" w:rsidRDefault="0046011D" w:rsidP="007E2C7C">
      <w:pPr>
        <w:pStyle w:val="Ruller4"/>
        <w:rPr>
          <w:rtl/>
        </w:rPr>
      </w:pPr>
      <w:r>
        <w:rPr>
          <w:rFonts w:hint="cs"/>
          <w:rtl/>
        </w:rPr>
        <w:t xml:space="preserve">בשולי הדברים אציין כי יתכן שחיזוק אפשרי נוסף למסקנה זו ניתן למצוא בסעיף </w:t>
      </w:r>
      <w:r w:rsidR="007E2C7C">
        <w:rPr>
          <w:rFonts w:hint="cs"/>
          <w:rtl/>
        </w:rPr>
        <w:t>6</w:t>
      </w:r>
      <w:r>
        <w:rPr>
          <w:rFonts w:hint="cs"/>
          <w:rtl/>
        </w:rPr>
        <w:t xml:space="preserve"> לחוק הפרשנות, התשמ"א-1981, שקובע כי "</w:t>
      </w:r>
      <w:r w:rsidRPr="00B955BA">
        <w:rPr>
          <w:rFonts w:hint="eastAsia"/>
          <w:rtl/>
        </w:rPr>
        <w:t>האמור</w:t>
      </w:r>
      <w:r w:rsidRPr="00B955BA">
        <w:rPr>
          <w:rtl/>
        </w:rPr>
        <w:t xml:space="preserve"> </w:t>
      </w:r>
      <w:r w:rsidRPr="00B955BA">
        <w:rPr>
          <w:rFonts w:hint="eastAsia"/>
          <w:rtl/>
        </w:rPr>
        <w:t>בלשון</w:t>
      </w:r>
      <w:r w:rsidRPr="00B955BA">
        <w:rPr>
          <w:rtl/>
        </w:rPr>
        <w:t xml:space="preserve"> </w:t>
      </w:r>
      <w:r w:rsidRPr="00B955BA">
        <w:rPr>
          <w:rFonts w:hint="eastAsia"/>
          <w:rtl/>
        </w:rPr>
        <w:t>זכר</w:t>
      </w:r>
      <w:r w:rsidRPr="00B955BA">
        <w:rPr>
          <w:rtl/>
        </w:rPr>
        <w:t xml:space="preserve"> – </w:t>
      </w:r>
      <w:r w:rsidRPr="00B955BA">
        <w:rPr>
          <w:rFonts w:hint="eastAsia"/>
          <w:rtl/>
        </w:rPr>
        <w:t>אף</w:t>
      </w:r>
      <w:r w:rsidRPr="00B955BA">
        <w:rPr>
          <w:rtl/>
        </w:rPr>
        <w:t xml:space="preserve"> </w:t>
      </w:r>
      <w:r w:rsidRPr="00B955BA">
        <w:rPr>
          <w:rFonts w:hint="eastAsia"/>
          <w:rtl/>
        </w:rPr>
        <w:t>לשון</w:t>
      </w:r>
      <w:r w:rsidRPr="00B955BA">
        <w:rPr>
          <w:rtl/>
        </w:rPr>
        <w:t xml:space="preserve"> </w:t>
      </w:r>
      <w:r w:rsidRPr="00B955BA">
        <w:rPr>
          <w:rFonts w:hint="eastAsia"/>
          <w:rtl/>
        </w:rPr>
        <w:t>נקבה</w:t>
      </w:r>
      <w:r w:rsidRPr="00B955BA">
        <w:rPr>
          <w:rtl/>
        </w:rPr>
        <w:t xml:space="preserve"> </w:t>
      </w:r>
      <w:r w:rsidRPr="00B955BA">
        <w:rPr>
          <w:rFonts w:hint="eastAsia"/>
          <w:rtl/>
        </w:rPr>
        <w:t>במשמע</w:t>
      </w:r>
      <w:r w:rsidRPr="00B955BA">
        <w:rPr>
          <w:rtl/>
        </w:rPr>
        <w:t xml:space="preserve">, </w:t>
      </w:r>
      <w:r w:rsidRPr="00B955BA">
        <w:rPr>
          <w:rFonts w:hint="eastAsia"/>
          <w:rtl/>
        </w:rPr>
        <w:t>וכן</w:t>
      </w:r>
      <w:r w:rsidRPr="00B955BA">
        <w:rPr>
          <w:rtl/>
        </w:rPr>
        <w:t xml:space="preserve"> </w:t>
      </w:r>
      <w:r w:rsidRPr="00B955BA">
        <w:rPr>
          <w:rFonts w:hint="eastAsia"/>
          <w:rtl/>
        </w:rPr>
        <w:t>להיפך</w:t>
      </w:r>
      <w:r>
        <w:rPr>
          <w:rFonts w:hint="cs"/>
          <w:rtl/>
        </w:rPr>
        <w:t>". כלל פרשני זה מורה לנו כי אין בנקיטת לשון הפונה למגדר מסוים כדי להגביל את היקף התפרשותו של הביטוי אך ביחס למגדר האמור</w:t>
      </w:r>
      <w:r w:rsidRPr="006D4062">
        <w:rPr>
          <w:rtl/>
        </w:rPr>
        <w:t>.</w:t>
      </w:r>
      <w:r>
        <w:rPr>
          <w:rFonts w:hint="cs"/>
          <w:rtl/>
        </w:rPr>
        <w:t xml:space="preserve"> לצד זאת, </w:t>
      </w:r>
      <w:r w:rsidRPr="006D4062">
        <w:rPr>
          <w:rFonts w:hint="eastAsia"/>
          <w:rtl/>
        </w:rPr>
        <w:lastRenderedPageBreak/>
        <w:t>כידוע</w:t>
      </w:r>
      <w:r w:rsidRPr="006D4062">
        <w:rPr>
          <w:rtl/>
        </w:rPr>
        <w:t xml:space="preserve">, </w:t>
      </w:r>
      <w:r w:rsidRPr="006D4062">
        <w:rPr>
          <w:rFonts w:hint="eastAsia"/>
          <w:rtl/>
        </w:rPr>
        <w:t>סעיף</w:t>
      </w:r>
      <w:r w:rsidRPr="006D4062">
        <w:rPr>
          <w:rtl/>
        </w:rPr>
        <w:t xml:space="preserve"> 1 </w:t>
      </w:r>
      <w:r w:rsidRPr="006D4062">
        <w:rPr>
          <w:rFonts w:hint="eastAsia"/>
          <w:rtl/>
        </w:rPr>
        <w:t>קובע</w:t>
      </w:r>
      <w:r w:rsidRPr="006D4062">
        <w:rPr>
          <w:rtl/>
        </w:rPr>
        <w:t xml:space="preserve"> </w:t>
      </w:r>
      <w:r w:rsidRPr="006D4062">
        <w:rPr>
          <w:rFonts w:hint="eastAsia"/>
          <w:rtl/>
        </w:rPr>
        <w:t>כי</w:t>
      </w:r>
      <w:r w:rsidRPr="006D4062">
        <w:rPr>
          <w:rtl/>
        </w:rPr>
        <w:t xml:space="preserve"> </w:t>
      </w:r>
      <w:r w:rsidRPr="006D4062">
        <w:rPr>
          <w:rFonts w:hint="eastAsia"/>
          <w:rtl/>
        </w:rPr>
        <w:t>הוראות</w:t>
      </w:r>
      <w:r>
        <w:rPr>
          <w:rFonts w:hint="cs"/>
          <w:rtl/>
        </w:rPr>
        <w:t>יו</w:t>
      </w:r>
      <w:r w:rsidRPr="006D4062">
        <w:rPr>
          <w:rtl/>
        </w:rPr>
        <w:t xml:space="preserve"> </w:t>
      </w:r>
      <w:r w:rsidRPr="006D4062">
        <w:rPr>
          <w:rFonts w:hint="eastAsia"/>
          <w:rtl/>
        </w:rPr>
        <w:t>יחולו</w:t>
      </w:r>
      <w:r w:rsidRPr="006D4062">
        <w:rPr>
          <w:rtl/>
        </w:rPr>
        <w:t xml:space="preserve"> </w:t>
      </w:r>
      <w:r w:rsidRPr="006D4062">
        <w:rPr>
          <w:rFonts w:hint="eastAsia"/>
          <w:rtl/>
        </w:rPr>
        <w:t>לגבי</w:t>
      </w:r>
      <w:r w:rsidRPr="006D4062">
        <w:rPr>
          <w:rtl/>
        </w:rPr>
        <w:t xml:space="preserve"> </w:t>
      </w:r>
      <w:r w:rsidRPr="006D4062">
        <w:rPr>
          <w:rFonts w:hint="eastAsia"/>
          <w:rtl/>
        </w:rPr>
        <w:t>כל</w:t>
      </w:r>
      <w:r w:rsidRPr="006D4062">
        <w:rPr>
          <w:rtl/>
        </w:rPr>
        <w:t xml:space="preserve"> </w:t>
      </w:r>
      <w:r w:rsidRPr="006D4062">
        <w:rPr>
          <w:rFonts w:hint="eastAsia"/>
          <w:rtl/>
        </w:rPr>
        <w:t>חיקוק</w:t>
      </w:r>
      <w:r w:rsidRPr="006D4062">
        <w:rPr>
          <w:rtl/>
        </w:rPr>
        <w:t xml:space="preserve"> "</w:t>
      </w:r>
      <w:r w:rsidRPr="006D4062">
        <w:rPr>
          <w:rFonts w:hint="eastAsia"/>
          <w:rtl/>
        </w:rPr>
        <w:t>אם</w:t>
      </w:r>
      <w:r w:rsidRPr="006D4062">
        <w:rPr>
          <w:rtl/>
        </w:rPr>
        <w:t xml:space="preserve"> </w:t>
      </w:r>
      <w:r w:rsidRPr="006D4062">
        <w:rPr>
          <w:rFonts w:hint="eastAsia"/>
          <w:rtl/>
        </w:rPr>
        <w:t>אין</w:t>
      </w:r>
      <w:r w:rsidRPr="006D4062">
        <w:rPr>
          <w:rtl/>
        </w:rPr>
        <w:t xml:space="preserve"> </w:t>
      </w:r>
      <w:r w:rsidRPr="006D4062">
        <w:rPr>
          <w:rFonts w:hint="eastAsia"/>
          <w:rtl/>
        </w:rPr>
        <w:t>הוראה</w:t>
      </w:r>
      <w:r w:rsidRPr="006D4062">
        <w:rPr>
          <w:rtl/>
        </w:rPr>
        <w:t xml:space="preserve"> </w:t>
      </w:r>
      <w:r w:rsidRPr="006D4062">
        <w:rPr>
          <w:rFonts w:hint="eastAsia"/>
          <w:rtl/>
        </w:rPr>
        <w:t>אחרת</w:t>
      </w:r>
      <w:r w:rsidRPr="006D4062">
        <w:rPr>
          <w:rtl/>
        </w:rPr>
        <w:t xml:space="preserve"> </w:t>
      </w:r>
      <w:proofErr w:type="spellStart"/>
      <w:r w:rsidRPr="006D4062">
        <w:rPr>
          <w:rFonts w:hint="eastAsia"/>
          <w:rtl/>
        </w:rPr>
        <w:t>לענין</w:t>
      </w:r>
      <w:proofErr w:type="spellEnd"/>
      <w:r w:rsidRPr="006D4062">
        <w:rPr>
          <w:rtl/>
        </w:rPr>
        <w:t xml:space="preserve"> </w:t>
      </w:r>
      <w:r w:rsidRPr="006D4062">
        <w:rPr>
          <w:rFonts w:hint="eastAsia"/>
          <w:rtl/>
        </w:rPr>
        <w:t>הנדון</w:t>
      </w:r>
      <w:r w:rsidRPr="006D4062">
        <w:rPr>
          <w:rtl/>
        </w:rPr>
        <w:t xml:space="preserve"> </w:t>
      </w:r>
      <w:r w:rsidRPr="006D4062">
        <w:rPr>
          <w:rFonts w:hint="eastAsia"/>
          <w:rtl/>
        </w:rPr>
        <w:t>ואם</w:t>
      </w:r>
      <w:r w:rsidRPr="006D4062">
        <w:rPr>
          <w:rtl/>
        </w:rPr>
        <w:t xml:space="preserve"> </w:t>
      </w:r>
      <w:r w:rsidRPr="006D4062">
        <w:rPr>
          <w:rFonts w:hint="eastAsia"/>
          <w:rtl/>
        </w:rPr>
        <w:t>אין</w:t>
      </w:r>
      <w:r w:rsidRPr="006D4062">
        <w:rPr>
          <w:rtl/>
        </w:rPr>
        <w:t xml:space="preserve"> </w:t>
      </w:r>
      <w:proofErr w:type="spellStart"/>
      <w:r w:rsidRPr="006D4062">
        <w:rPr>
          <w:rFonts w:hint="eastAsia"/>
          <w:rtl/>
        </w:rPr>
        <w:t>בענין</w:t>
      </w:r>
      <w:proofErr w:type="spellEnd"/>
      <w:r w:rsidRPr="006D4062">
        <w:rPr>
          <w:rtl/>
        </w:rPr>
        <w:t xml:space="preserve"> </w:t>
      </w:r>
      <w:r w:rsidRPr="006D4062">
        <w:rPr>
          <w:rFonts w:hint="eastAsia"/>
          <w:rtl/>
        </w:rPr>
        <w:t>הנדון</w:t>
      </w:r>
      <w:r w:rsidRPr="006D4062">
        <w:rPr>
          <w:rtl/>
        </w:rPr>
        <w:t xml:space="preserve"> </w:t>
      </w:r>
      <w:r w:rsidRPr="006D4062">
        <w:rPr>
          <w:rFonts w:hint="eastAsia"/>
          <w:rtl/>
        </w:rPr>
        <w:t>או</w:t>
      </w:r>
      <w:r w:rsidRPr="006D4062">
        <w:rPr>
          <w:rtl/>
        </w:rPr>
        <w:t xml:space="preserve"> </w:t>
      </w:r>
      <w:r w:rsidRPr="006D4062">
        <w:rPr>
          <w:rFonts w:hint="eastAsia"/>
          <w:rtl/>
        </w:rPr>
        <w:t>בהקשרו</w:t>
      </w:r>
      <w:r w:rsidRPr="006D4062">
        <w:rPr>
          <w:rtl/>
        </w:rPr>
        <w:t xml:space="preserve"> </w:t>
      </w:r>
      <w:r w:rsidRPr="006D4062">
        <w:rPr>
          <w:rFonts w:hint="eastAsia"/>
          <w:rtl/>
        </w:rPr>
        <w:t>דבר</w:t>
      </w:r>
      <w:r w:rsidRPr="006D4062">
        <w:rPr>
          <w:rtl/>
        </w:rPr>
        <w:t xml:space="preserve"> </w:t>
      </w:r>
      <w:r w:rsidRPr="006D4062">
        <w:rPr>
          <w:rFonts w:hint="eastAsia"/>
          <w:rtl/>
        </w:rPr>
        <w:t>שאינו</w:t>
      </w:r>
      <w:r w:rsidRPr="006D4062">
        <w:rPr>
          <w:rtl/>
        </w:rPr>
        <w:t xml:space="preserve"> </w:t>
      </w:r>
      <w:r w:rsidRPr="006D4062">
        <w:rPr>
          <w:rFonts w:hint="eastAsia"/>
          <w:rtl/>
        </w:rPr>
        <w:t>מתיישב</w:t>
      </w:r>
      <w:r w:rsidRPr="006D4062">
        <w:rPr>
          <w:rtl/>
        </w:rPr>
        <w:t xml:space="preserve"> </w:t>
      </w:r>
      <w:r w:rsidRPr="006D4062">
        <w:rPr>
          <w:rFonts w:hint="eastAsia"/>
          <w:rtl/>
        </w:rPr>
        <w:t>עם</w:t>
      </w:r>
      <w:r w:rsidRPr="006D4062">
        <w:rPr>
          <w:rtl/>
        </w:rPr>
        <w:t xml:space="preserve"> </w:t>
      </w:r>
      <w:r w:rsidRPr="006D4062">
        <w:rPr>
          <w:rFonts w:hint="eastAsia"/>
          <w:rtl/>
        </w:rPr>
        <w:t>חוק</w:t>
      </w:r>
      <w:r w:rsidRPr="006D4062">
        <w:rPr>
          <w:rtl/>
        </w:rPr>
        <w:t xml:space="preserve"> </w:t>
      </w:r>
      <w:r w:rsidRPr="006D4062">
        <w:rPr>
          <w:rFonts w:hint="eastAsia"/>
          <w:rtl/>
        </w:rPr>
        <w:t>זה</w:t>
      </w:r>
      <w:r w:rsidRPr="006D4062">
        <w:rPr>
          <w:rtl/>
        </w:rPr>
        <w:t>"</w:t>
      </w:r>
      <w:r>
        <w:rPr>
          <w:rFonts w:hint="cs"/>
          <w:rtl/>
        </w:rPr>
        <w:t>. לפיכך, שאלה היא האם  ניתן להיעזר בכלל האמור כדי ללמוד על כך שהלשון כשלעצמה אינה מונעת את התפרשותו של המושג גם על בני זוג מאותו המין, או שמא מהקשר הדברים</w:t>
      </w:r>
      <w:r w:rsidRPr="00F91896">
        <w:rPr>
          <w:rFonts w:hint="eastAsia"/>
          <w:rtl/>
        </w:rPr>
        <w:t xml:space="preserve"> </w:t>
      </w:r>
      <w:r>
        <w:rPr>
          <w:rFonts w:hint="cs"/>
          <w:rtl/>
        </w:rPr>
        <w:t>ו</w:t>
      </w:r>
      <w:r w:rsidRPr="00F91896">
        <w:rPr>
          <w:rFonts w:hint="eastAsia"/>
          <w:rtl/>
        </w:rPr>
        <w:t>ממהות</w:t>
      </w:r>
      <w:r w:rsidRPr="00F91896">
        <w:rPr>
          <w:rtl/>
        </w:rPr>
        <w:t xml:space="preserve"> </w:t>
      </w:r>
      <w:r w:rsidRPr="00F91896">
        <w:rPr>
          <w:rFonts w:hint="eastAsia"/>
          <w:rtl/>
        </w:rPr>
        <w:t>העני</w:t>
      </w:r>
      <w:r w:rsidR="00715CDF">
        <w:rPr>
          <w:rFonts w:hint="cs"/>
          <w:rtl/>
        </w:rPr>
        <w:t>י</w:t>
      </w:r>
      <w:r w:rsidRPr="00F91896">
        <w:rPr>
          <w:rFonts w:hint="eastAsia"/>
          <w:rtl/>
        </w:rPr>
        <w:t>ן</w:t>
      </w:r>
      <w:r w:rsidRPr="00F91896">
        <w:rPr>
          <w:rtl/>
        </w:rPr>
        <w:t xml:space="preserve"> </w:t>
      </w:r>
      <w:r w:rsidRPr="00F91896">
        <w:rPr>
          <w:rFonts w:hint="eastAsia"/>
          <w:rtl/>
        </w:rPr>
        <w:t>ניתן</w:t>
      </w:r>
      <w:r w:rsidRPr="00F91896">
        <w:rPr>
          <w:rtl/>
        </w:rPr>
        <w:t xml:space="preserve"> </w:t>
      </w:r>
      <w:r w:rsidRPr="00F91896">
        <w:rPr>
          <w:rFonts w:hint="eastAsia"/>
          <w:rtl/>
        </w:rPr>
        <w:t>להסיק</w:t>
      </w:r>
      <w:r w:rsidRPr="00F91896">
        <w:rPr>
          <w:rtl/>
        </w:rPr>
        <w:t xml:space="preserve"> </w:t>
      </w:r>
      <w:r w:rsidRPr="00F91896">
        <w:rPr>
          <w:rFonts w:hint="eastAsia"/>
          <w:rtl/>
        </w:rPr>
        <w:t>כוונה</w:t>
      </w:r>
      <w:r w:rsidRPr="00F91896">
        <w:rPr>
          <w:rtl/>
        </w:rPr>
        <w:t xml:space="preserve"> </w:t>
      </w:r>
      <w:r w:rsidRPr="00F91896">
        <w:rPr>
          <w:rFonts w:hint="eastAsia"/>
          <w:rtl/>
        </w:rPr>
        <w:t>לשלול</w:t>
      </w:r>
      <w:r w:rsidRPr="00F91896">
        <w:rPr>
          <w:rtl/>
        </w:rPr>
        <w:t xml:space="preserve"> </w:t>
      </w:r>
      <w:r w:rsidRPr="00F91896">
        <w:rPr>
          <w:rFonts w:hint="eastAsia"/>
          <w:rtl/>
        </w:rPr>
        <w:t>את</w:t>
      </w:r>
      <w:r w:rsidRPr="00F91896">
        <w:rPr>
          <w:rtl/>
        </w:rPr>
        <w:t xml:space="preserve"> </w:t>
      </w:r>
      <w:r>
        <w:rPr>
          <w:rFonts w:hint="cs"/>
          <w:rtl/>
        </w:rPr>
        <w:t>תחולת סעיף 5 בענייננו (והשוו: בג</w:t>
      </w:r>
      <w:r w:rsidRPr="00F91896">
        <w:rPr>
          <w:rtl/>
        </w:rPr>
        <w:t>"</w:t>
      </w:r>
      <w:r w:rsidRPr="00F91896">
        <w:rPr>
          <w:rFonts w:hint="eastAsia"/>
          <w:rtl/>
        </w:rPr>
        <w:t>ץ</w:t>
      </w:r>
      <w:r w:rsidRPr="00F91896">
        <w:rPr>
          <w:rtl/>
        </w:rPr>
        <w:t xml:space="preserve"> 2458</w:t>
      </w:r>
      <w:r>
        <w:rPr>
          <w:rFonts w:hint="cs"/>
          <w:rtl/>
        </w:rPr>
        <w:t>/</w:t>
      </w:r>
      <w:r w:rsidRPr="00F91896">
        <w:rPr>
          <w:rtl/>
        </w:rPr>
        <w:t xml:space="preserve">01 </w:t>
      </w:r>
      <w:r w:rsidRPr="00F91896">
        <w:rPr>
          <w:rFonts w:ascii="Century" w:hAnsi="Century" w:cs="Miriam" w:hint="eastAsia"/>
          <w:b/>
          <w:spacing w:val="0"/>
          <w:sz w:val="22"/>
          <w:szCs w:val="24"/>
          <w:rtl/>
        </w:rPr>
        <w:t>משפחה</w:t>
      </w:r>
      <w:r w:rsidRPr="00F91896">
        <w:rPr>
          <w:rFonts w:ascii="Century" w:hAnsi="Century" w:cs="Miriam"/>
          <w:b/>
          <w:spacing w:val="0"/>
          <w:sz w:val="22"/>
          <w:szCs w:val="24"/>
          <w:rtl/>
        </w:rPr>
        <w:t xml:space="preserve"> </w:t>
      </w:r>
      <w:r w:rsidRPr="00F91896">
        <w:rPr>
          <w:rFonts w:ascii="Century" w:hAnsi="Century" w:cs="Miriam" w:hint="eastAsia"/>
          <w:b/>
          <w:spacing w:val="0"/>
          <w:sz w:val="22"/>
          <w:szCs w:val="24"/>
          <w:rtl/>
        </w:rPr>
        <w:t>חדשה</w:t>
      </w:r>
      <w:r w:rsidRPr="00F91896">
        <w:rPr>
          <w:rFonts w:ascii="Century" w:hAnsi="Century" w:cs="Miriam"/>
          <w:b/>
          <w:spacing w:val="0"/>
          <w:sz w:val="22"/>
          <w:szCs w:val="24"/>
          <w:rtl/>
        </w:rPr>
        <w:t xml:space="preserve"> </w:t>
      </w:r>
      <w:r w:rsidRPr="00F91896">
        <w:rPr>
          <w:rFonts w:ascii="Century" w:hAnsi="Century" w:cs="Miriam" w:hint="eastAsia"/>
          <w:b/>
          <w:spacing w:val="0"/>
          <w:sz w:val="22"/>
          <w:szCs w:val="24"/>
          <w:rtl/>
        </w:rPr>
        <w:t>נ</w:t>
      </w:r>
      <w:r w:rsidRPr="00F91896">
        <w:rPr>
          <w:rFonts w:ascii="Century" w:hAnsi="Century" w:cs="Miriam"/>
          <w:b/>
          <w:spacing w:val="0"/>
          <w:sz w:val="22"/>
          <w:szCs w:val="24"/>
          <w:rtl/>
        </w:rPr>
        <w:t xml:space="preserve">' </w:t>
      </w:r>
      <w:r w:rsidRPr="00F91896">
        <w:rPr>
          <w:rFonts w:ascii="Century" w:hAnsi="Century" w:cs="Miriam" w:hint="eastAsia"/>
          <w:b/>
          <w:spacing w:val="0"/>
          <w:sz w:val="22"/>
          <w:szCs w:val="24"/>
          <w:rtl/>
        </w:rPr>
        <w:t>הוועדה</w:t>
      </w:r>
      <w:r w:rsidRPr="00F91896">
        <w:rPr>
          <w:rFonts w:ascii="Century" w:hAnsi="Century" w:cs="Miriam"/>
          <w:b/>
          <w:spacing w:val="0"/>
          <w:sz w:val="22"/>
          <w:szCs w:val="24"/>
          <w:rtl/>
        </w:rPr>
        <w:t xml:space="preserve"> </w:t>
      </w:r>
      <w:r w:rsidRPr="00F91896">
        <w:rPr>
          <w:rFonts w:ascii="Century" w:hAnsi="Century" w:cs="Miriam" w:hint="eastAsia"/>
          <w:b/>
          <w:spacing w:val="0"/>
          <w:sz w:val="22"/>
          <w:szCs w:val="24"/>
          <w:rtl/>
        </w:rPr>
        <w:t>לאישור</w:t>
      </w:r>
      <w:r w:rsidRPr="00F91896">
        <w:rPr>
          <w:rFonts w:ascii="Century" w:hAnsi="Century" w:cs="Miriam"/>
          <w:b/>
          <w:spacing w:val="0"/>
          <w:sz w:val="22"/>
          <w:szCs w:val="24"/>
          <w:rtl/>
        </w:rPr>
        <w:t xml:space="preserve"> </w:t>
      </w:r>
      <w:r w:rsidRPr="00F91896">
        <w:rPr>
          <w:rFonts w:ascii="Century" w:hAnsi="Century" w:cs="Miriam" w:hint="eastAsia"/>
          <w:b/>
          <w:spacing w:val="0"/>
          <w:sz w:val="22"/>
          <w:szCs w:val="24"/>
          <w:rtl/>
        </w:rPr>
        <w:t>הסכמים</w:t>
      </w:r>
      <w:r w:rsidRPr="00F91896">
        <w:rPr>
          <w:rFonts w:ascii="Century" w:hAnsi="Century" w:cs="Miriam"/>
          <w:b/>
          <w:spacing w:val="0"/>
          <w:sz w:val="22"/>
          <w:szCs w:val="24"/>
          <w:rtl/>
        </w:rPr>
        <w:t xml:space="preserve"> </w:t>
      </w:r>
      <w:r w:rsidRPr="00F91896">
        <w:rPr>
          <w:rFonts w:ascii="Century" w:hAnsi="Century" w:cs="Miriam" w:hint="eastAsia"/>
          <w:b/>
          <w:spacing w:val="0"/>
          <w:sz w:val="22"/>
          <w:szCs w:val="24"/>
          <w:rtl/>
        </w:rPr>
        <w:t>לנשיאת</w:t>
      </w:r>
      <w:r w:rsidRPr="00F91896">
        <w:rPr>
          <w:rFonts w:ascii="Century" w:hAnsi="Century" w:cs="Miriam"/>
          <w:b/>
          <w:spacing w:val="0"/>
          <w:sz w:val="22"/>
          <w:szCs w:val="24"/>
          <w:rtl/>
        </w:rPr>
        <w:t xml:space="preserve"> </w:t>
      </w:r>
      <w:r w:rsidRPr="00F91896">
        <w:rPr>
          <w:rFonts w:ascii="Century" w:hAnsi="Century" w:cs="Miriam" w:hint="eastAsia"/>
          <w:b/>
          <w:spacing w:val="0"/>
          <w:sz w:val="22"/>
          <w:szCs w:val="24"/>
          <w:rtl/>
        </w:rPr>
        <w:t>עוברים</w:t>
      </w:r>
      <w:r w:rsidRPr="00F91896">
        <w:rPr>
          <w:rFonts w:ascii="Century" w:hAnsi="Century" w:cs="Miriam"/>
          <w:b/>
          <w:spacing w:val="0"/>
          <w:sz w:val="22"/>
          <w:szCs w:val="24"/>
          <w:rtl/>
        </w:rPr>
        <w:t xml:space="preserve">, </w:t>
      </w:r>
      <w:r w:rsidRPr="00F91896">
        <w:rPr>
          <w:rFonts w:ascii="Century" w:hAnsi="Century" w:cs="Miriam" w:hint="eastAsia"/>
          <w:b/>
          <w:spacing w:val="0"/>
          <w:sz w:val="22"/>
          <w:szCs w:val="24"/>
          <w:rtl/>
        </w:rPr>
        <w:t>משרד</w:t>
      </w:r>
      <w:r w:rsidRPr="00F91896">
        <w:rPr>
          <w:rFonts w:ascii="Century" w:hAnsi="Century" w:cs="Miriam"/>
          <w:b/>
          <w:spacing w:val="0"/>
          <w:sz w:val="22"/>
          <w:szCs w:val="24"/>
          <w:rtl/>
        </w:rPr>
        <w:t xml:space="preserve"> </w:t>
      </w:r>
      <w:r w:rsidRPr="00F91896">
        <w:rPr>
          <w:rFonts w:ascii="Century" w:hAnsi="Century" w:cs="Miriam" w:hint="eastAsia"/>
          <w:b/>
          <w:spacing w:val="0"/>
          <w:sz w:val="22"/>
          <w:szCs w:val="24"/>
          <w:rtl/>
        </w:rPr>
        <w:t>הבריאות</w:t>
      </w:r>
      <w:r w:rsidRPr="00F91896">
        <w:rPr>
          <w:rtl/>
        </w:rPr>
        <w:t>,</w:t>
      </w:r>
      <w:r>
        <w:rPr>
          <w:rFonts w:hint="cs"/>
          <w:rtl/>
        </w:rPr>
        <w:t xml:space="preserve"> פ"ד</w:t>
      </w:r>
      <w:r w:rsidRPr="00F91896">
        <w:rPr>
          <w:rtl/>
        </w:rPr>
        <w:t xml:space="preserve"> </w:t>
      </w:r>
      <w:proofErr w:type="spellStart"/>
      <w:r w:rsidRPr="00F91896">
        <w:rPr>
          <w:rFonts w:hint="eastAsia"/>
          <w:rtl/>
        </w:rPr>
        <w:t>נז</w:t>
      </w:r>
      <w:proofErr w:type="spellEnd"/>
      <w:r w:rsidRPr="00F91896">
        <w:rPr>
          <w:rtl/>
        </w:rPr>
        <w:t>(1) 419</w:t>
      </w:r>
      <w:r>
        <w:rPr>
          <w:rFonts w:hint="cs"/>
          <w:rtl/>
        </w:rPr>
        <w:t xml:space="preserve"> (2002))</w:t>
      </w:r>
      <w:r w:rsidRPr="006D4062">
        <w:rPr>
          <w:rtl/>
        </w:rPr>
        <w:t>.</w:t>
      </w:r>
      <w:r>
        <w:rPr>
          <w:rFonts w:hint="cs"/>
          <w:rtl/>
        </w:rPr>
        <w:t xml:space="preserve"> ואולם, איני סבור כי עלינו לטעת מסמרות בשאלת </w:t>
      </w:r>
      <w:proofErr w:type="spellStart"/>
      <w:r>
        <w:rPr>
          <w:rFonts w:hint="cs"/>
          <w:rtl/>
        </w:rPr>
        <w:t>נפקותו</w:t>
      </w:r>
      <w:proofErr w:type="spellEnd"/>
      <w:r>
        <w:rPr>
          <w:rFonts w:hint="cs"/>
          <w:rtl/>
        </w:rPr>
        <w:t xml:space="preserve"> של סעיף 5 במקרה דנן, מאחר שלשיטתי די בהקשרו הפנימי של המונח ובמבנה הלשוני על מנת לקבוע שמדובר בפרשנות לשונית אפשרית. </w:t>
      </w:r>
    </w:p>
    <w:p w:rsidR="0046011D" w:rsidRDefault="0046011D" w:rsidP="0046011D">
      <w:pPr>
        <w:pStyle w:val="Ruller41"/>
        <w:rPr>
          <w:rtl/>
        </w:rPr>
      </w:pPr>
    </w:p>
    <w:p w:rsidR="0046011D" w:rsidRPr="00703C2B" w:rsidRDefault="0046011D" w:rsidP="0046011D">
      <w:pPr>
        <w:pStyle w:val="Ruller4"/>
        <w:rPr>
          <w:rtl/>
        </w:rPr>
      </w:pPr>
      <w:r>
        <w:rPr>
          <w:rFonts w:hint="cs"/>
          <w:rtl/>
        </w:rPr>
        <w:t xml:space="preserve">לסיכום פרק זה, סבורני כי אף שלשונו של סעיף 3 מתיישבת יותר, על פני הדברים, עם הפרשנות שלפיה תיבה זו </w:t>
      </w:r>
      <w:r w:rsidRPr="006E7632">
        <w:rPr>
          <w:rFonts w:hint="cs"/>
          <w:rtl/>
        </w:rPr>
        <w:t>מתייחסת לבני זוג הטרוסקסואליים, הפרשנות שלפיה סעיף זה כולל גם בני זוג מאותו ה</w:t>
      </w:r>
      <w:r w:rsidRPr="006E7632">
        <w:rPr>
          <w:rFonts w:ascii="Century" w:hAnsi="Century" w:hint="cs"/>
          <w:rtl/>
        </w:rPr>
        <w:t xml:space="preserve">מין </w:t>
      </w:r>
      <w:r w:rsidRPr="006E7632">
        <w:rPr>
          <w:rFonts w:ascii="Century" w:hAnsi="Century" w:hint="eastAsia"/>
          <w:rtl/>
        </w:rPr>
        <w:t>אינה</w:t>
      </w:r>
      <w:r w:rsidRPr="006E7632">
        <w:rPr>
          <w:rFonts w:ascii="Century" w:hAnsi="Century" w:hint="cs"/>
          <w:rtl/>
        </w:rPr>
        <w:t xml:space="preserve"> חורגת</w:t>
      </w:r>
      <w:r w:rsidRPr="006E7632">
        <w:rPr>
          <w:rFonts w:hint="cs"/>
          <w:rtl/>
        </w:rPr>
        <w:t xml:space="preserve"> ממתחם הפרשנויות הלשוניות האפשריות. אכן, אפשרות לשונית זו מחייבת מאמץ פרשני מסוים. עם זאת, </w:t>
      </w:r>
      <w:r w:rsidRPr="006E7632">
        <w:rPr>
          <w:rFonts w:hint="eastAsia"/>
          <w:rtl/>
        </w:rPr>
        <w:t>כפי</w:t>
      </w:r>
      <w:r w:rsidRPr="006E7632">
        <w:rPr>
          <w:rtl/>
        </w:rPr>
        <w:t xml:space="preserve"> </w:t>
      </w:r>
      <w:r w:rsidRPr="006E7632">
        <w:rPr>
          <w:rFonts w:hint="eastAsia"/>
          <w:rtl/>
        </w:rPr>
        <w:t>ש</w:t>
      </w:r>
      <w:r w:rsidRPr="006E7632">
        <w:rPr>
          <w:rFonts w:hint="cs"/>
          <w:rtl/>
        </w:rPr>
        <w:t xml:space="preserve">כבר </w:t>
      </w:r>
      <w:r w:rsidRPr="006E7632">
        <w:rPr>
          <w:rFonts w:hint="eastAsia"/>
          <w:rtl/>
        </w:rPr>
        <w:t>צוין</w:t>
      </w:r>
      <w:r w:rsidRPr="006E7632">
        <w:rPr>
          <w:rtl/>
        </w:rPr>
        <w:t xml:space="preserve"> </w:t>
      </w:r>
      <w:r w:rsidRPr="006E7632">
        <w:rPr>
          <w:rFonts w:hint="eastAsia"/>
          <w:rtl/>
        </w:rPr>
        <w:t>בפרשה</w:t>
      </w:r>
      <w:r w:rsidRPr="006E7632">
        <w:rPr>
          <w:rtl/>
        </w:rPr>
        <w:t xml:space="preserve"> </w:t>
      </w:r>
      <w:r w:rsidRPr="006E7632">
        <w:rPr>
          <w:rFonts w:hint="eastAsia"/>
          <w:rtl/>
        </w:rPr>
        <w:t>אחרת</w:t>
      </w:r>
      <w:r w:rsidRPr="006E7632">
        <w:rPr>
          <w:rtl/>
        </w:rPr>
        <w:t>: "</w:t>
      </w:r>
      <w:r w:rsidRPr="006E7632">
        <w:rPr>
          <w:rFonts w:hint="eastAsia"/>
          <w:rtl/>
        </w:rPr>
        <w:t>השופט</w:t>
      </w:r>
      <w:r w:rsidRPr="006E7632">
        <w:rPr>
          <w:rtl/>
        </w:rPr>
        <w:t xml:space="preserve"> </w:t>
      </w:r>
      <w:r w:rsidRPr="006E7632">
        <w:rPr>
          <w:rFonts w:hint="eastAsia"/>
          <w:rtl/>
        </w:rPr>
        <w:t>אינו</w:t>
      </w:r>
      <w:r w:rsidRPr="006E7632">
        <w:rPr>
          <w:rtl/>
        </w:rPr>
        <w:t xml:space="preserve"> </w:t>
      </w:r>
      <w:r w:rsidRPr="006E7632">
        <w:rPr>
          <w:rFonts w:hint="eastAsia"/>
          <w:rtl/>
        </w:rPr>
        <w:t>רשאי</w:t>
      </w:r>
      <w:r w:rsidRPr="006E7632">
        <w:rPr>
          <w:rtl/>
        </w:rPr>
        <w:t xml:space="preserve"> </w:t>
      </w:r>
      <w:r w:rsidRPr="006E7632">
        <w:rPr>
          <w:rFonts w:hint="eastAsia"/>
          <w:rtl/>
        </w:rPr>
        <w:t>לגלות</w:t>
      </w:r>
      <w:r w:rsidRPr="006E7632">
        <w:rPr>
          <w:rtl/>
        </w:rPr>
        <w:t xml:space="preserve"> </w:t>
      </w:r>
      <w:r w:rsidRPr="006E7632">
        <w:rPr>
          <w:rFonts w:hint="eastAsia"/>
          <w:rtl/>
        </w:rPr>
        <w:t>שוויון</w:t>
      </w:r>
      <w:r w:rsidRPr="006E7632">
        <w:rPr>
          <w:rtl/>
        </w:rPr>
        <w:t xml:space="preserve"> </w:t>
      </w:r>
      <w:r w:rsidRPr="006E7632">
        <w:rPr>
          <w:rFonts w:hint="eastAsia"/>
          <w:rtl/>
        </w:rPr>
        <w:t>נפש</w:t>
      </w:r>
      <w:r w:rsidRPr="006E7632">
        <w:rPr>
          <w:rtl/>
        </w:rPr>
        <w:t xml:space="preserve"> </w:t>
      </w:r>
      <w:r w:rsidRPr="006E7632">
        <w:rPr>
          <w:rFonts w:hint="eastAsia"/>
          <w:rtl/>
        </w:rPr>
        <w:t>למצב</w:t>
      </w:r>
      <w:r w:rsidRPr="006E7632">
        <w:rPr>
          <w:rtl/>
        </w:rPr>
        <w:t xml:space="preserve"> </w:t>
      </w:r>
      <w:r w:rsidRPr="006E7632">
        <w:rPr>
          <w:rFonts w:hint="eastAsia"/>
          <w:rtl/>
        </w:rPr>
        <w:t>דברים</w:t>
      </w:r>
      <w:r w:rsidRPr="006E7632">
        <w:rPr>
          <w:rtl/>
        </w:rPr>
        <w:t xml:space="preserve"> </w:t>
      </w:r>
      <w:r w:rsidRPr="006E7632">
        <w:rPr>
          <w:rFonts w:hint="eastAsia"/>
          <w:rtl/>
        </w:rPr>
        <w:t>שבו</w:t>
      </w:r>
      <w:r w:rsidRPr="006E7632">
        <w:rPr>
          <w:rtl/>
        </w:rPr>
        <w:t xml:space="preserve"> </w:t>
      </w:r>
      <w:r w:rsidRPr="006E7632">
        <w:rPr>
          <w:rFonts w:hint="eastAsia"/>
          <w:rtl/>
        </w:rPr>
        <w:t>תכלית</w:t>
      </w:r>
      <w:r w:rsidRPr="006E7632">
        <w:rPr>
          <w:rtl/>
        </w:rPr>
        <w:t xml:space="preserve"> </w:t>
      </w:r>
      <w:r w:rsidRPr="006E7632">
        <w:rPr>
          <w:rFonts w:hint="eastAsia"/>
          <w:rtl/>
        </w:rPr>
        <w:t>החקיקה</w:t>
      </w:r>
      <w:r w:rsidRPr="006E7632">
        <w:rPr>
          <w:rtl/>
        </w:rPr>
        <w:t xml:space="preserve"> </w:t>
      </w:r>
      <w:r w:rsidRPr="006E7632">
        <w:rPr>
          <w:rFonts w:hint="eastAsia"/>
          <w:rtl/>
        </w:rPr>
        <w:t>אינה</w:t>
      </w:r>
      <w:r w:rsidRPr="006E7632">
        <w:rPr>
          <w:rtl/>
        </w:rPr>
        <w:t xml:space="preserve"> </w:t>
      </w:r>
      <w:r w:rsidRPr="006E7632">
        <w:rPr>
          <w:rFonts w:hint="eastAsia"/>
          <w:rtl/>
        </w:rPr>
        <w:t>מתגשמת</w:t>
      </w:r>
      <w:r w:rsidRPr="006E7632">
        <w:rPr>
          <w:rtl/>
        </w:rPr>
        <w:t xml:space="preserve">. </w:t>
      </w:r>
      <w:r w:rsidRPr="006E7632">
        <w:rPr>
          <w:rFonts w:hint="eastAsia"/>
          <w:rtl/>
        </w:rPr>
        <w:t>עליו</w:t>
      </w:r>
      <w:r w:rsidRPr="006E7632">
        <w:rPr>
          <w:rtl/>
        </w:rPr>
        <w:t xml:space="preserve"> </w:t>
      </w:r>
      <w:r w:rsidRPr="006E7632">
        <w:rPr>
          <w:rFonts w:hint="eastAsia"/>
          <w:rtl/>
        </w:rPr>
        <w:t>לעשות</w:t>
      </w:r>
      <w:r w:rsidRPr="006E7632">
        <w:rPr>
          <w:rtl/>
        </w:rPr>
        <w:t xml:space="preserve"> </w:t>
      </w:r>
      <w:r w:rsidRPr="006E7632">
        <w:rPr>
          <w:rFonts w:hint="eastAsia"/>
          <w:rtl/>
        </w:rPr>
        <w:t>מאמץ</w:t>
      </w:r>
      <w:r w:rsidRPr="006E7632">
        <w:rPr>
          <w:rtl/>
        </w:rPr>
        <w:t xml:space="preserve"> </w:t>
      </w:r>
      <w:r w:rsidRPr="006E7632">
        <w:rPr>
          <w:rFonts w:hint="eastAsia"/>
          <w:rtl/>
        </w:rPr>
        <w:t>פרשני</w:t>
      </w:r>
      <w:r w:rsidRPr="006E7632">
        <w:rPr>
          <w:rtl/>
        </w:rPr>
        <w:t xml:space="preserve"> </w:t>
      </w:r>
      <w:r w:rsidRPr="006E7632">
        <w:rPr>
          <w:rFonts w:hint="eastAsia"/>
          <w:rtl/>
        </w:rPr>
        <w:t>להגשים</w:t>
      </w:r>
      <w:r w:rsidRPr="006E7632">
        <w:rPr>
          <w:rtl/>
        </w:rPr>
        <w:t xml:space="preserve"> </w:t>
      </w:r>
      <w:r w:rsidRPr="006E7632">
        <w:rPr>
          <w:rFonts w:hint="eastAsia"/>
          <w:rtl/>
        </w:rPr>
        <w:t>את</w:t>
      </w:r>
      <w:r w:rsidRPr="006E7632">
        <w:rPr>
          <w:rtl/>
        </w:rPr>
        <w:t xml:space="preserve"> </w:t>
      </w:r>
      <w:r w:rsidRPr="006E7632">
        <w:rPr>
          <w:rFonts w:hint="eastAsia"/>
          <w:rtl/>
        </w:rPr>
        <w:t>תכליתה</w:t>
      </w:r>
      <w:r w:rsidRPr="006E7632">
        <w:rPr>
          <w:rtl/>
        </w:rPr>
        <w:t xml:space="preserve"> </w:t>
      </w:r>
      <w:r w:rsidRPr="006E7632">
        <w:rPr>
          <w:rFonts w:hint="eastAsia"/>
          <w:rtl/>
        </w:rPr>
        <w:t>של</w:t>
      </w:r>
      <w:r w:rsidRPr="006E7632">
        <w:rPr>
          <w:rtl/>
        </w:rPr>
        <w:t xml:space="preserve"> </w:t>
      </w:r>
      <w:r w:rsidRPr="006E7632">
        <w:rPr>
          <w:rFonts w:hint="eastAsia"/>
          <w:rtl/>
        </w:rPr>
        <w:t>החקיקה</w:t>
      </w:r>
      <w:r w:rsidRPr="006E7632">
        <w:rPr>
          <w:rtl/>
        </w:rPr>
        <w:t>" (</w:t>
      </w:r>
      <w:r w:rsidRPr="006E7632">
        <w:rPr>
          <w:rFonts w:hint="eastAsia"/>
          <w:rtl/>
        </w:rPr>
        <w:t>בג</w:t>
      </w:r>
      <w:r w:rsidRPr="006E7632">
        <w:rPr>
          <w:rtl/>
        </w:rPr>
        <w:t>"</w:t>
      </w:r>
      <w:r w:rsidRPr="006E7632">
        <w:rPr>
          <w:rFonts w:hint="eastAsia"/>
          <w:rtl/>
        </w:rPr>
        <w:t>ץ</w:t>
      </w:r>
      <w:r w:rsidRPr="006E7632">
        <w:rPr>
          <w:rtl/>
        </w:rPr>
        <w:t xml:space="preserve"> 4562/92 </w:t>
      </w:r>
      <w:r w:rsidRPr="006E7632">
        <w:rPr>
          <w:rFonts w:ascii="Century" w:hAnsi="Century" w:cs="Miriam" w:hint="eastAsia"/>
          <w:b/>
          <w:spacing w:val="0"/>
          <w:sz w:val="22"/>
          <w:szCs w:val="24"/>
          <w:rtl/>
        </w:rPr>
        <w:t>זנדברג</w:t>
      </w:r>
      <w:r w:rsidRPr="006E7632">
        <w:rPr>
          <w:rFonts w:ascii="Century" w:hAnsi="Century" w:cs="Miriam"/>
          <w:b/>
          <w:spacing w:val="0"/>
          <w:sz w:val="22"/>
          <w:szCs w:val="24"/>
          <w:rtl/>
        </w:rPr>
        <w:t xml:space="preserve"> </w:t>
      </w:r>
      <w:r w:rsidRPr="006E7632">
        <w:rPr>
          <w:rFonts w:ascii="Century" w:hAnsi="Century" w:cs="Miriam" w:hint="eastAsia"/>
          <w:b/>
          <w:spacing w:val="0"/>
          <w:sz w:val="22"/>
          <w:szCs w:val="24"/>
          <w:rtl/>
        </w:rPr>
        <w:t>נ</w:t>
      </w:r>
      <w:r w:rsidRPr="006E7632">
        <w:rPr>
          <w:rFonts w:ascii="Century" w:hAnsi="Century" w:cs="Miriam"/>
          <w:b/>
          <w:spacing w:val="0"/>
          <w:sz w:val="22"/>
          <w:szCs w:val="24"/>
          <w:rtl/>
        </w:rPr>
        <w:t xml:space="preserve">' </w:t>
      </w:r>
      <w:r w:rsidRPr="006E7632">
        <w:rPr>
          <w:rFonts w:ascii="Century" w:hAnsi="Century" w:cs="Miriam" w:hint="eastAsia"/>
          <w:b/>
          <w:spacing w:val="0"/>
          <w:sz w:val="22"/>
          <w:szCs w:val="24"/>
          <w:rtl/>
        </w:rPr>
        <w:t>רשות</w:t>
      </w:r>
      <w:r w:rsidRPr="006E7632">
        <w:rPr>
          <w:rFonts w:ascii="Century" w:hAnsi="Century" w:cs="Miriam"/>
          <w:b/>
          <w:spacing w:val="0"/>
          <w:sz w:val="22"/>
          <w:szCs w:val="24"/>
          <w:rtl/>
        </w:rPr>
        <w:t xml:space="preserve"> </w:t>
      </w:r>
      <w:r w:rsidRPr="006E7632">
        <w:rPr>
          <w:rFonts w:ascii="Century" w:hAnsi="Century" w:cs="Miriam" w:hint="eastAsia"/>
          <w:b/>
          <w:spacing w:val="0"/>
          <w:sz w:val="22"/>
          <w:szCs w:val="24"/>
          <w:rtl/>
        </w:rPr>
        <w:t>השידור</w:t>
      </w:r>
      <w:r w:rsidRPr="006E7632">
        <w:rPr>
          <w:rtl/>
        </w:rPr>
        <w:t xml:space="preserve">, </w:t>
      </w:r>
      <w:r w:rsidRPr="006E7632">
        <w:rPr>
          <w:rFonts w:hint="eastAsia"/>
          <w:rtl/>
        </w:rPr>
        <w:t>פ</w:t>
      </w:r>
      <w:r w:rsidRPr="006E7632">
        <w:rPr>
          <w:rtl/>
        </w:rPr>
        <w:t>"</w:t>
      </w:r>
      <w:r w:rsidRPr="006E7632">
        <w:rPr>
          <w:rFonts w:hint="eastAsia"/>
          <w:rtl/>
        </w:rPr>
        <w:t>ד</w:t>
      </w:r>
      <w:r w:rsidRPr="006E7632">
        <w:rPr>
          <w:rtl/>
        </w:rPr>
        <w:t xml:space="preserve"> </w:t>
      </w:r>
      <w:r w:rsidRPr="006E7632">
        <w:rPr>
          <w:rFonts w:hint="eastAsia"/>
          <w:rtl/>
        </w:rPr>
        <w:t>נ</w:t>
      </w:r>
      <w:r w:rsidRPr="006E7632">
        <w:rPr>
          <w:rtl/>
        </w:rPr>
        <w:t xml:space="preserve">(2) 793, 811 (1996); </w:t>
      </w:r>
      <w:r w:rsidRPr="006E7632">
        <w:rPr>
          <w:rFonts w:hint="eastAsia"/>
          <w:rtl/>
        </w:rPr>
        <w:t>כן</w:t>
      </w:r>
      <w:r w:rsidRPr="006E7632">
        <w:rPr>
          <w:rtl/>
        </w:rPr>
        <w:t xml:space="preserve"> </w:t>
      </w:r>
      <w:r w:rsidRPr="006E7632">
        <w:rPr>
          <w:rFonts w:hint="eastAsia"/>
          <w:rtl/>
        </w:rPr>
        <w:t>ראו</w:t>
      </w:r>
      <w:r w:rsidRPr="006E7632">
        <w:rPr>
          <w:rtl/>
        </w:rPr>
        <w:t xml:space="preserve">: </w:t>
      </w:r>
      <w:r w:rsidRPr="006E7632">
        <w:rPr>
          <w:rFonts w:hint="eastAsia"/>
          <w:rtl/>
        </w:rPr>
        <w:t>ברק</w:t>
      </w:r>
      <w:r w:rsidRPr="006E7632">
        <w:rPr>
          <w:rtl/>
        </w:rPr>
        <w:t xml:space="preserve">, </w:t>
      </w:r>
      <w:r w:rsidRPr="006E7632">
        <w:rPr>
          <w:rFonts w:hint="eastAsia"/>
          <w:rtl/>
        </w:rPr>
        <w:t>פרשנות</w:t>
      </w:r>
      <w:r w:rsidRPr="006E7632">
        <w:rPr>
          <w:rtl/>
        </w:rPr>
        <w:t xml:space="preserve"> </w:t>
      </w:r>
      <w:r w:rsidRPr="006E7632">
        <w:rPr>
          <w:rFonts w:hint="eastAsia"/>
          <w:rtl/>
        </w:rPr>
        <w:t>החקיקה</w:t>
      </w:r>
      <w:r w:rsidRPr="006E7632">
        <w:rPr>
          <w:rtl/>
        </w:rPr>
        <w:t xml:space="preserve">, </w:t>
      </w:r>
      <w:r w:rsidRPr="006E7632">
        <w:rPr>
          <w:rFonts w:hint="eastAsia"/>
          <w:rtl/>
        </w:rPr>
        <w:t>בעמ</w:t>
      </w:r>
      <w:r w:rsidRPr="006E7632">
        <w:rPr>
          <w:rtl/>
        </w:rPr>
        <w:t>' 100).</w:t>
      </w:r>
      <w:r w:rsidRPr="006E7632">
        <w:rPr>
          <w:rFonts w:hint="cs"/>
          <w:rtl/>
        </w:rPr>
        <w:t xml:space="preserve"> לפיכך, אפנה לבחון</w:t>
      </w:r>
      <w:r>
        <w:rPr>
          <w:rFonts w:hint="cs"/>
          <w:rtl/>
        </w:rPr>
        <w:t xml:space="preserve"> את תכלית החקיקה.</w:t>
      </w:r>
    </w:p>
    <w:p w:rsidR="0046011D" w:rsidRDefault="0046011D" w:rsidP="0046011D">
      <w:pPr>
        <w:pStyle w:val="Ruller41"/>
        <w:rPr>
          <w:rtl/>
        </w:rPr>
      </w:pPr>
    </w:p>
    <w:p w:rsidR="0046011D" w:rsidRDefault="0046011D" w:rsidP="0046011D">
      <w:pPr>
        <w:pStyle w:val="Ruller41"/>
        <w:rPr>
          <w:rFonts w:ascii="Century" w:hAnsi="Century" w:cs="Miriam"/>
          <w:b/>
          <w:spacing w:val="0"/>
          <w:szCs w:val="24"/>
          <w:rtl/>
        </w:rPr>
      </w:pPr>
      <w:r>
        <w:rPr>
          <w:rFonts w:ascii="Century" w:hAnsi="Century" w:cs="Miriam" w:hint="cs"/>
          <w:b/>
          <w:spacing w:val="0"/>
          <w:szCs w:val="24"/>
          <w:rtl/>
        </w:rPr>
        <w:t>תכלית סובייקטיבית</w:t>
      </w:r>
    </w:p>
    <w:p w:rsidR="0046011D" w:rsidRPr="00816C0C" w:rsidRDefault="0046011D" w:rsidP="0046011D">
      <w:pPr>
        <w:pStyle w:val="Ruller41"/>
        <w:rPr>
          <w:rtl/>
        </w:rPr>
      </w:pPr>
    </w:p>
    <w:p w:rsidR="0046011D" w:rsidRDefault="0046011D" w:rsidP="0046011D">
      <w:pPr>
        <w:pStyle w:val="Ruller4"/>
        <w:rPr>
          <w:sz w:val="22"/>
          <w:rtl/>
        </w:rPr>
      </w:pPr>
      <w:r>
        <w:rPr>
          <w:rFonts w:hint="cs"/>
          <w:rtl/>
        </w:rPr>
        <w:t xml:space="preserve">אפנה כעת לבחון את התכלית כפי שזו עולה </w:t>
      </w:r>
      <w:r w:rsidRPr="000B3E53">
        <w:rPr>
          <w:rFonts w:ascii="Century" w:hAnsi="Century" w:hint="cs"/>
          <w:sz w:val="22"/>
          <w:rtl/>
        </w:rPr>
        <w:t>מההיסטוריה החקיקתית</w:t>
      </w:r>
      <w:r>
        <w:rPr>
          <w:rFonts w:hint="cs"/>
          <w:rtl/>
        </w:rPr>
        <w:t xml:space="preserve">. החוק בנוסחו </w:t>
      </w:r>
      <w:r>
        <w:rPr>
          <w:rFonts w:hint="cs"/>
          <w:sz w:val="22"/>
          <w:rtl/>
        </w:rPr>
        <w:t xml:space="preserve">הנוכחי </w:t>
      </w:r>
      <w:r w:rsidRPr="00CA0752">
        <w:rPr>
          <w:rFonts w:hint="cs"/>
          <w:sz w:val="22"/>
          <w:rtl/>
        </w:rPr>
        <w:t xml:space="preserve">נחקק בשנת 1981, </w:t>
      </w:r>
      <w:r>
        <w:rPr>
          <w:rFonts w:hint="cs"/>
          <w:sz w:val="22"/>
          <w:rtl/>
        </w:rPr>
        <w:t xml:space="preserve">והוא החליף את חוק האימוץ, התש"ך-1960 (להלן: </w:t>
      </w:r>
      <w:r w:rsidRPr="000B3E53">
        <w:rPr>
          <w:rFonts w:ascii="Century" w:hAnsi="Century" w:cs="Miriam" w:hint="cs"/>
          <w:b/>
          <w:spacing w:val="0"/>
          <w:sz w:val="22"/>
          <w:szCs w:val="24"/>
          <w:rtl/>
        </w:rPr>
        <w:t>חוק האימוץ הישן</w:t>
      </w:r>
      <w:r>
        <w:rPr>
          <w:rFonts w:hint="cs"/>
          <w:sz w:val="22"/>
          <w:rtl/>
        </w:rPr>
        <w:t xml:space="preserve">). מקורו של הכלל שקבוע בסעיף 3 לפיו "אין אימוץ אלא על ידי איש ואשתו יחד" בחוק האימוץ הישן, ונוסחו לא שונה מאז. </w:t>
      </w:r>
      <w:r w:rsidRPr="00CA0752">
        <w:rPr>
          <w:rFonts w:hint="cs"/>
          <w:sz w:val="22"/>
          <w:rtl/>
        </w:rPr>
        <w:t xml:space="preserve">לפיכך, </w:t>
      </w:r>
      <w:r>
        <w:rPr>
          <w:rFonts w:hint="cs"/>
          <w:sz w:val="22"/>
          <w:rtl/>
        </w:rPr>
        <w:t>מקור רלוונטי נוסף לבחינת התכלית הסובייקטיבית הוא ההיסטוריה החקיקתית של החוק הישן (ברק, תורת החקיקה, בעמ' 396-395).</w:t>
      </w:r>
      <w:r w:rsidRPr="00CA0752">
        <w:rPr>
          <w:rFonts w:hint="cs"/>
          <w:sz w:val="22"/>
          <w:rtl/>
        </w:rPr>
        <w:t xml:space="preserve"> </w:t>
      </w:r>
    </w:p>
    <w:p w:rsidR="0046011D" w:rsidRPr="000B3E53" w:rsidRDefault="0046011D" w:rsidP="0046011D">
      <w:pPr>
        <w:pStyle w:val="Ruller41"/>
        <w:rPr>
          <w:rtl/>
        </w:rPr>
      </w:pPr>
    </w:p>
    <w:p w:rsidR="0046011D" w:rsidRDefault="0046011D" w:rsidP="0046011D">
      <w:pPr>
        <w:pStyle w:val="Ruller4"/>
      </w:pPr>
      <w:r>
        <w:rPr>
          <w:rFonts w:hint="cs"/>
          <w:rtl/>
        </w:rPr>
        <w:t xml:space="preserve">עיון בהיסטוריה החקיקתית של חוק האימוץ הישן, כמו גם בהליך חקיקת חוק האימוץ בנוסחו העדכני, מעלה כי השאלה שניצבת לפנינו </w:t>
      </w:r>
      <w:r>
        <w:rPr>
          <w:rtl/>
        </w:rPr>
        <w:t>–</w:t>
      </w:r>
      <w:r>
        <w:rPr>
          <w:rFonts w:hint="cs"/>
          <w:rtl/>
        </w:rPr>
        <w:t xml:space="preserve"> כשירותם של בני זוג מאותו המין לאמץ </w:t>
      </w:r>
      <w:r>
        <w:rPr>
          <w:rtl/>
        </w:rPr>
        <w:t>–</w:t>
      </w:r>
      <w:r>
        <w:rPr>
          <w:rFonts w:hint="cs"/>
          <w:rtl/>
        </w:rPr>
        <w:t xml:space="preserve"> כלל לא ניצבה לפני המחוקק (וראו גם: עניין </w:t>
      </w:r>
      <w:proofErr w:type="spellStart"/>
      <w:r w:rsidRPr="00550966">
        <w:rPr>
          <w:rFonts w:ascii="Century" w:hAnsi="Century" w:cs="Miriam" w:hint="cs"/>
          <w:b/>
          <w:spacing w:val="0"/>
          <w:sz w:val="22"/>
          <w:szCs w:val="24"/>
          <w:rtl/>
        </w:rPr>
        <w:t>ירוס</w:t>
      </w:r>
      <w:proofErr w:type="spellEnd"/>
      <w:r w:rsidRPr="00550966">
        <w:rPr>
          <w:rFonts w:ascii="Century" w:hAnsi="Century" w:cs="Miriam" w:hint="cs"/>
          <w:b/>
          <w:spacing w:val="0"/>
          <w:sz w:val="22"/>
          <w:szCs w:val="24"/>
          <w:rtl/>
        </w:rPr>
        <w:t>-חקק</w:t>
      </w:r>
      <w:r>
        <w:rPr>
          <w:rFonts w:hint="cs"/>
          <w:rtl/>
        </w:rPr>
        <w:t xml:space="preserve">, בעמ' 86, 132). לנגד עיניהם של המחוקקים ניצבו אך שתי אפשרויות: אימוץ בידי זוג הטרוסקסואלי או אימוץ בידי מאמץ יחיד שהוא רווק. יוער כי אף המונח "הטרוסקסואלי" לא אוזכר, מטבע הדברים, בהליך החקיקה, מאחר שהדבר היה אותה עת בבחינת "מובן מאליו" עבור </w:t>
      </w:r>
      <w:r>
        <w:rPr>
          <w:rFonts w:hint="cs"/>
          <w:rtl/>
        </w:rPr>
        <w:lastRenderedPageBreak/>
        <w:t xml:space="preserve">המחוקקים. משכך, אין מדובר במצב הדברים שבו המחוקק הכריע פוזיטיבית לעניין תחולת ההסדר על זוגות מאותו המין (והשוו: בג"ץ 781/15 </w:t>
      </w:r>
      <w:r w:rsidRPr="00550966">
        <w:rPr>
          <w:rFonts w:ascii="Century" w:hAnsi="Century" w:cs="Miriam" w:hint="cs"/>
          <w:b/>
          <w:spacing w:val="0"/>
          <w:sz w:val="22"/>
          <w:szCs w:val="24"/>
          <w:rtl/>
        </w:rPr>
        <w:t xml:space="preserve">ארד-פנקס נ' הוועדה לאישור </w:t>
      </w:r>
      <w:r w:rsidRPr="00550966">
        <w:rPr>
          <w:rFonts w:ascii="Century" w:hAnsi="Century" w:cs="Miriam"/>
          <w:b/>
          <w:spacing w:val="0"/>
          <w:sz w:val="22"/>
          <w:szCs w:val="24"/>
          <w:rtl/>
        </w:rPr>
        <w:t>הוועדה לאישור הסכמים לנשיאת עוברים על פי חוק הסכמים לנשיאת עוברים (אישור הסכם ומעמד הילוד), התשנ"ו-1996</w:t>
      </w:r>
      <w:r>
        <w:rPr>
          <w:rFonts w:hint="cs"/>
          <w:rtl/>
        </w:rPr>
        <w:t xml:space="preserve">, פסקה 21 לפסק הדין של הנשיאה </w:t>
      </w:r>
      <w:r w:rsidRPr="00550966">
        <w:rPr>
          <w:rFonts w:ascii="Century" w:hAnsi="Century" w:cs="Miriam" w:hint="cs"/>
          <w:b/>
          <w:spacing w:val="0"/>
          <w:sz w:val="22"/>
          <w:szCs w:val="24"/>
          <w:rtl/>
        </w:rPr>
        <w:t>א' חיות</w:t>
      </w:r>
      <w:r w:rsidRPr="001A5219">
        <w:rPr>
          <w:rFonts w:hint="cs"/>
          <w:rtl/>
        </w:rPr>
        <w:t xml:space="preserve"> </w:t>
      </w:r>
      <w:r>
        <w:rPr>
          <w:rFonts w:hint="cs"/>
          <w:rtl/>
        </w:rPr>
        <w:t xml:space="preserve">(27.2.2020) (להלן: עניין </w:t>
      </w:r>
      <w:r w:rsidRPr="0096750B">
        <w:rPr>
          <w:rFonts w:ascii="Century" w:hAnsi="Century" w:cs="Miriam" w:hint="cs"/>
          <w:b/>
          <w:spacing w:val="0"/>
          <w:sz w:val="22"/>
          <w:szCs w:val="24"/>
          <w:rtl/>
        </w:rPr>
        <w:t>ארד-פנקס</w:t>
      </w:r>
      <w:r>
        <w:rPr>
          <w:rFonts w:hint="cs"/>
          <w:rtl/>
        </w:rPr>
        <w:t xml:space="preserve">)). לפיכך, עלינו לשאול </w:t>
      </w:r>
      <w:r w:rsidRPr="00DD47DC">
        <w:rPr>
          <w:rFonts w:hint="eastAsia"/>
          <w:rtl/>
        </w:rPr>
        <w:t>מהי</w:t>
      </w:r>
      <w:r w:rsidRPr="00DD47DC">
        <w:rPr>
          <w:rtl/>
        </w:rPr>
        <w:t xml:space="preserve"> </w:t>
      </w:r>
      <w:r w:rsidRPr="00DD47DC">
        <w:rPr>
          <w:rFonts w:hint="eastAsia"/>
          <w:rtl/>
        </w:rPr>
        <w:t>התכלית</w:t>
      </w:r>
      <w:r>
        <w:rPr>
          <w:rFonts w:hint="cs"/>
          <w:rtl/>
        </w:rPr>
        <w:t xml:space="preserve"> הכללית</w:t>
      </w:r>
      <w:r w:rsidRPr="00DD47DC">
        <w:rPr>
          <w:rtl/>
        </w:rPr>
        <w:t xml:space="preserve"> </w:t>
      </w:r>
      <w:r w:rsidRPr="00DD47DC">
        <w:rPr>
          <w:rFonts w:hint="eastAsia"/>
          <w:rtl/>
        </w:rPr>
        <w:t>שביקשו</w:t>
      </w:r>
      <w:r w:rsidRPr="00DD47DC">
        <w:rPr>
          <w:rtl/>
        </w:rPr>
        <w:t xml:space="preserve"> </w:t>
      </w:r>
      <w:r w:rsidRPr="00DD47DC">
        <w:rPr>
          <w:rFonts w:hint="eastAsia"/>
          <w:rtl/>
        </w:rPr>
        <w:t>חברי</w:t>
      </w:r>
      <w:r>
        <w:rPr>
          <w:rFonts w:hint="cs"/>
          <w:rtl/>
        </w:rPr>
        <w:t xml:space="preserve"> </w:t>
      </w:r>
      <w:r w:rsidRPr="00DD47DC">
        <w:rPr>
          <w:rFonts w:hint="eastAsia"/>
          <w:rtl/>
        </w:rPr>
        <w:t>הכנסת</w:t>
      </w:r>
      <w:r w:rsidRPr="00DD47DC">
        <w:rPr>
          <w:rtl/>
        </w:rPr>
        <w:t xml:space="preserve"> </w:t>
      </w:r>
      <w:r w:rsidRPr="00DD47DC">
        <w:rPr>
          <w:rFonts w:hint="eastAsia"/>
          <w:rtl/>
        </w:rPr>
        <w:t>להגשים</w:t>
      </w:r>
      <w:r w:rsidRPr="00DD47DC">
        <w:rPr>
          <w:rtl/>
        </w:rPr>
        <w:t xml:space="preserve"> </w:t>
      </w:r>
      <w:r>
        <w:rPr>
          <w:rFonts w:hint="eastAsia"/>
          <w:rtl/>
        </w:rPr>
        <w:t>ב</w:t>
      </w:r>
      <w:r>
        <w:rPr>
          <w:rFonts w:hint="cs"/>
          <w:rtl/>
        </w:rPr>
        <w:t xml:space="preserve">קביעת התנאי האמור. </w:t>
      </w:r>
    </w:p>
    <w:p w:rsidR="0046011D" w:rsidRDefault="0046011D" w:rsidP="0046011D">
      <w:pPr>
        <w:pStyle w:val="Ruller4"/>
        <w:numPr>
          <w:ilvl w:val="0"/>
          <w:numId w:val="0"/>
        </w:numPr>
        <w:rPr>
          <w:rtl/>
        </w:rPr>
      </w:pPr>
    </w:p>
    <w:p w:rsidR="0046011D" w:rsidRDefault="0046011D" w:rsidP="0046011D">
      <w:pPr>
        <w:pStyle w:val="Ruller4"/>
      </w:pPr>
      <w:r>
        <w:rPr>
          <w:rFonts w:hint="cs"/>
          <w:rtl/>
        </w:rPr>
        <w:t xml:space="preserve">עיון בהליך החקיקה מעלה כי תכליתו הפרטיקולרית של התנאי שקבוע בסעיף 3 חופפת לתכליתו הכללית של חוק האימוץ והיא הבטחת טובתו של הילד המאומץ. כאמור לעיל, לנגד עיניהם של חברי הכנסת עמדו שתי קטגוריות של מאמצים אפשריים: זוג הורים מאמצים הטרוסקסואליים והמאמץ הרווק היחיד. בהינתן שתי האפשרויות האמורות, סברו חברי הכנסת כי טובת הילד היא להימסר לבני זוג ולא למאמץ יחיד. מהליך החקיקה משתקפת תפיסה מסורתית, שלפיה זוגיות והולדה הן שני רכיבים מרכזיים של מוסד המשפחה, והם שלובים זה בזה; קרי, השותפות בין בני הזוג והיחסים ביניהם הם חלק בלתי נפרד מהורותם (וראו: פנחס </w:t>
      </w:r>
      <w:proofErr w:type="spellStart"/>
      <w:r>
        <w:rPr>
          <w:rFonts w:hint="cs"/>
          <w:rtl/>
        </w:rPr>
        <w:t>שיפמן</w:t>
      </w:r>
      <w:proofErr w:type="spellEnd"/>
      <w:r>
        <w:rPr>
          <w:rFonts w:hint="cs"/>
          <w:rtl/>
        </w:rPr>
        <w:t xml:space="preserve"> "על המשפחה החדשה: קווי פתיחה לדיון" </w:t>
      </w:r>
      <w:r w:rsidRPr="00A91148">
        <w:rPr>
          <w:rFonts w:ascii="Century" w:hAnsi="Century" w:cs="Miriam" w:hint="cs"/>
          <w:b/>
          <w:spacing w:val="0"/>
          <w:sz w:val="22"/>
          <w:szCs w:val="24"/>
          <w:rtl/>
        </w:rPr>
        <w:t>עיוני משפט</w:t>
      </w:r>
      <w:r w:rsidRPr="00A91148">
        <w:rPr>
          <w:rFonts w:hint="cs"/>
          <w:rtl/>
        </w:rPr>
        <w:t xml:space="preserve"> </w:t>
      </w:r>
      <w:proofErr w:type="spellStart"/>
      <w:r>
        <w:rPr>
          <w:rFonts w:hint="cs"/>
          <w:rtl/>
        </w:rPr>
        <w:t>כח</w:t>
      </w:r>
      <w:proofErr w:type="spellEnd"/>
      <w:r>
        <w:rPr>
          <w:rFonts w:hint="cs"/>
          <w:rtl/>
        </w:rPr>
        <w:t xml:space="preserve"> 643, 648 (תשס"ו-תשס"ז)). דברים אלה באים לידי ביטוי למשל מדבריו של שר המשפטים פנחס רוזן בעת הצגת הצעת החוק במליאת הכנסת:</w:t>
      </w:r>
    </w:p>
    <w:p w:rsidR="0046011D" w:rsidRPr="000B3E53" w:rsidRDefault="0046011D" w:rsidP="0046011D">
      <w:pPr>
        <w:pStyle w:val="Ruller41"/>
        <w:rPr>
          <w:rtl/>
        </w:rPr>
      </w:pPr>
    </w:p>
    <w:p w:rsidR="0046011D" w:rsidRDefault="0046011D" w:rsidP="0046011D">
      <w:pPr>
        <w:pStyle w:val="Ruller5"/>
        <w:rPr>
          <w:rtl/>
        </w:rPr>
      </w:pPr>
      <w:r w:rsidRPr="002F3448">
        <w:rPr>
          <w:rFonts w:hint="cs"/>
          <w:rtl/>
        </w:rPr>
        <w:t xml:space="preserve">"בסעיף 3 שבחוק שלפניכם מוצע שבדרך כלל לא יינתן האימוץ אלא לאיש ואשתו יחד, כי בכך </w:t>
      </w:r>
      <w:r w:rsidRPr="002F3448">
        <w:rPr>
          <w:rFonts w:ascii="Century" w:hAnsi="Century" w:cs="Miriam" w:hint="cs"/>
          <w:b/>
          <w:spacing w:val="0"/>
          <w:szCs w:val="24"/>
          <w:rtl/>
        </w:rPr>
        <w:t xml:space="preserve">מובטח הבית המשפחתי למאומץ, ויחיד שלא במסגרת משפחה </w:t>
      </w:r>
      <w:r w:rsidRPr="002F3448">
        <w:rPr>
          <w:rFonts w:hint="cs"/>
          <w:rtl/>
        </w:rPr>
        <w:t>יוכל לאמץ ילד רק אם הוא למעלה מגיל 35 וקרובו של המאומץ [...]" (</w:t>
      </w:r>
      <w:r>
        <w:rPr>
          <w:rFonts w:hint="cs"/>
          <w:rtl/>
        </w:rPr>
        <w:t xml:space="preserve">ההדגשה הוספה </w:t>
      </w:r>
      <w:r>
        <w:rPr>
          <w:rtl/>
        </w:rPr>
        <w:t>–</w:t>
      </w:r>
      <w:r>
        <w:rPr>
          <w:rFonts w:hint="cs"/>
          <w:rtl/>
        </w:rPr>
        <w:t xml:space="preserve"> ע' פ'; </w:t>
      </w:r>
      <w:proofErr w:type="spellStart"/>
      <w:r>
        <w:rPr>
          <w:rFonts w:hint="cs"/>
          <w:rtl/>
        </w:rPr>
        <w:t>ד"כ</w:t>
      </w:r>
      <w:proofErr w:type="spellEnd"/>
      <w:r>
        <w:rPr>
          <w:rFonts w:hint="cs"/>
          <w:rtl/>
        </w:rPr>
        <w:t xml:space="preserve"> 26.1.1960 </w:t>
      </w:r>
      <w:r w:rsidRPr="002F3448">
        <w:rPr>
          <w:rFonts w:hint="cs"/>
          <w:rtl/>
        </w:rPr>
        <w:t>472-471</w:t>
      </w:r>
      <w:r>
        <w:rPr>
          <w:rFonts w:hint="cs"/>
          <w:rtl/>
        </w:rPr>
        <w:t xml:space="preserve">). </w:t>
      </w:r>
    </w:p>
    <w:p w:rsidR="0046011D" w:rsidRPr="000B3E53" w:rsidRDefault="0046011D" w:rsidP="0046011D">
      <w:pPr>
        <w:pStyle w:val="Ruller41"/>
      </w:pPr>
    </w:p>
    <w:p w:rsidR="0046011D" w:rsidRDefault="0046011D" w:rsidP="0046011D">
      <w:pPr>
        <w:pStyle w:val="Ruller4"/>
        <w:numPr>
          <w:ilvl w:val="0"/>
          <w:numId w:val="0"/>
        </w:numPr>
        <w:rPr>
          <w:rtl/>
        </w:rPr>
      </w:pPr>
      <w:r>
        <w:rPr>
          <w:rtl/>
        </w:rPr>
        <w:tab/>
      </w:r>
      <w:r>
        <w:rPr>
          <w:rFonts w:hint="cs"/>
          <w:rtl/>
        </w:rPr>
        <w:t xml:space="preserve">בהתאם לתפיסה זו הציע חבר הכנסת חיים צדוק להוסיף ולקבוע כי על זוג המאמצים להיות נשואים לפחות 3 שנים: </w:t>
      </w:r>
    </w:p>
    <w:p w:rsidR="0046011D" w:rsidRDefault="0046011D" w:rsidP="0046011D">
      <w:pPr>
        <w:pStyle w:val="Ruller4"/>
        <w:numPr>
          <w:ilvl w:val="0"/>
          <w:numId w:val="0"/>
        </w:numPr>
        <w:rPr>
          <w:sz w:val="22"/>
          <w:rtl/>
        </w:rPr>
      </w:pPr>
    </w:p>
    <w:p w:rsidR="0046011D" w:rsidRDefault="0046011D" w:rsidP="0046011D">
      <w:pPr>
        <w:pStyle w:val="Ruller5"/>
        <w:rPr>
          <w:rtl/>
        </w:rPr>
      </w:pPr>
      <w:r>
        <w:rPr>
          <w:rFonts w:hint="cs"/>
          <w:rtl/>
        </w:rPr>
        <w:t xml:space="preserve">"הערתי הראשונה היא לסעיף 3 של החוק. בסעיף זה נאמר, בין היתר, שאין אימוץ אלא על-ידי איש ואשתו יחד. אני חושב שרצוי לקבוע סייגים של גיל ושל ותק משפחתי למאמצים כשהם איש ואשה יחד. הייתי מציע לשקול הצעה, שהאיש </w:t>
      </w:r>
      <w:proofErr w:type="spellStart"/>
      <w:r>
        <w:rPr>
          <w:rFonts w:hint="cs"/>
          <w:rtl/>
        </w:rPr>
        <w:t>והאשה</w:t>
      </w:r>
      <w:proofErr w:type="spellEnd"/>
      <w:r>
        <w:rPr>
          <w:rFonts w:hint="cs"/>
          <w:rtl/>
        </w:rPr>
        <w:t xml:space="preserve"> המאמצים צריכים להיות לפחות בני 25 שנה וצריכים להיות נשואים לפחות תקופה של 3 שנים; </w:t>
      </w:r>
      <w:r w:rsidRPr="001B1EA5">
        <w:rPr>
          <w:rFonts w:ascii="Century" w:hAnsi="Century" w:cs="Miriam" w:hint="cs"/>
          <w:b/>
          <w:spacing w:val="0"/>
          <w:szCs w:val="24"/>
          <w:rtl/>
        </w:rPr>
        <w:t xml:space="preserve">לדעתי, יש להבטיח שזוג המאמצים יהיה זוג של אנשים </w:t>
      </w:r>
      <w:proofErr w:type="spellStart"/>
      <w:r w:rsidRPr="001B1EA5">
        <w:rPr>
          <w:rFonts w:ascii="Century" w:hAnsi="Century" w:cs="Miriam" w:hint="cs"/>
          <w:b/>
          <w:spacing w:val="0"/>
          <w:szCs w:val="24"/>
          <w:rtl/>
        </w:rPr>
        <w:t>שנתיישבה</w:t>
      </w:r>
      <w:proofErr w:type="spellEnd"/>
      <w:r w:rsidRPr="001B1EA5">
        <w:rPr>
          <w:rFonts w:ascii="Century" w:hAnsi="Century" w:cs="Miriam" w:hint="cs"/>
          <w:b/>
          <w:spacing w:val="0"/>
          <w:szCs w:val="24"/>
          <w:rtl/>
        </w:rPr>
        <w:t xml:space="preserve"> עליהם דעתם והקשר המשפחתי הקיים ביניהם עמד במבחן הזמן</w:t>
      </w:r>
      <w:r>
        <w:rPr>
          <w:rFonts w:hint="cs"/>
          <w:rtl/>
        </w:rPr>
        <w:t xml:space="preserve">" (ההדגשה הוספה </w:t>
      </w:r>
      <w:r>
        <w:rPr>
          <w:rtl/>
        </w:rPr>
        <w:t>–</w:t>
      </w:r>
      <w:r>
        <w:rPr>
          <w:rFonts w:hint="cs"/>
          <w:rtl/>
        </w:rPr>
        <w:t xml:space="preserve"> ע' פ'; </w:t>
      </w:r>
      <w:proofErr w:type="spellStart"/>
      <w:r>
        <w:rPr>
          <w:rFonts w:hint="cs"/>
          <w:rtl/>
        </w:rPr>
        <w:t>ד"כ</w:t>
      </w:r>
      <w:proofErr w:type="spellEnd"/>
      <w:r>
        <w:rPr>
          <w:rFonts w:hint="cs"/>
          <w:rtl/>
        </w:rPr>
        <w:t xml:space="preserve"> 22.6.1959, 2321). </w:t>
      </w:r>
    </w:p>
    <w:p w:rsidR="0046011D" w:rsidRDefault="0046011D" w:rsidP="0046011D">
      <w:pPr>
        <w:pStyle w:val="Ruller5"/>
        <w:rPr>
          <w:rtl/>
        </w:rPr>
      </w:pPr>
    </w:p>
    <w:p w:rsidR="0046011D" w:rsidRDefault="0046011D" w:rsidP="0046011D">
      <w:pPr>
        <w:pStyle w:val="Ruller4"/>
        <w:numPr>
          <w:ilvl w:val="0"/>
          <w:numId w:val="0"/>
        </w:numPr>
        <w:rPr>
          <w:rtl/>
        </w:rPr>
      </w:pPr>
      <w:r>
        <w:rPr>
          <w:rtl/>
        </w:rPr>
        <w:lastRenderedPageBreak/>
        <w:tab/>
      </w:r>
      <w:r>
        <w:rPr>
          <w:rFonts w:hint="cs"/>
          <w:rtl/>
        </w:rPr>
        <w:t>אמנם הצעה זו לא התקבלה בסופו של יום, אבל סבורני כי ניתן ללמוד מהדברים האמורים על תפיסת המחוקק שלפיה הקשר הזוגי בין ההורים המאמצים, ויציבות התא המשפחתי שהקימו (כמו גם עמידתו במבחן הזמן), הם התנאים המיטביים שיש בהם כדי להיטיב עם הילד המאומץ.</w:t>
      </w:r>
    </w:p>
    <w:p w:rsidR="0046011D" w:rsidRDefault="0046011D" w:rsidP="0046011D">
      <w:pPr>
        <w:pStyle w:val="Ruller41"/>
        <w:rPr>
          <w:rtl/>
        </w:rPr>
      </w:pPr>
    </w:p>
    <w:p w:rsidR="0046011D" w:rsidRDefault="0046011D" w:rsidP="0046011D">
      <w:pPr>
        <w:pStyle w:val="Ruller4"/>
        <w:rPr>
          <w:rtl/>
        </w:rPr>
      </w:pPr>
      <w:r>
        <w:rPr>
          <w:rFonts w:hint="cs"/>
          <w:rtl/>
        </w:rPr>
        <w:t>בהתאם לאמור, לאורך הליך החקיקה הביעו חברי הכנסת פעמים רבות את התפיסה כי מצב הדברים שבו הורה רווק מגדל ילד בגפו אינו מגשים את טובתו של הילד, מאחר שאין בו ליצור תנאים ראויים להתפתחות תקינה,</w:t>
      </w:r>
      <w:r w:rsidRPr="006E1DEB">
        <w:rPr>
          <w:rFonts w:hint="cs"/>
          <w:rtl/>
        </w:rPr>
        <w:t xml:space="preserve"> </w:t>
      </w:r>
      <w:r>
        <w:rPr>
          <w:rFonts w:hint="cs"/>
          <w:rtl/>
        </w:rPr>
        <w:t xml:space="preserve">אווירה משפחתית מתאימה ובית חם (וראו למשל את דבריה של חברת הכנסת רחל צברי בד"כ 1.2.1960, 506;  דבריה של חברת הכנסת אמה תלמי בד"כ 2.2.1960, 526; דבריו של חבר הכנסת יעקב כץ בד"כ 8.6.1960, 2137). ברוח הדברים האמורים הציעה חברת הכנסת רות הקטין, כי כאשר מדובר במאמץ יחיד, יש לקבוע שהאימוץ יתאפשר רק במסגרת קיבוצית, שכן לשיטתה יש בכך ליצור אווירה משפחתית חלופית לבית הכולל זוג הורים: </w:t>
      </w:r>
    </w:p>
    <w:p w:rsidR="0046011D" w:rsidRPr="00BB1638" w:rsidRDefault="0046011D" w:rsidP="0046011D">
      <w:pPr>
        <w:pStyle w:val="Ruller41"/>
        <w:rPr>
          <w:rtl/>
        </w:rPr>
      </w:pPr>
    </w:p>
    <w:p w:rsidR="0046011D" w:rsidRDefault="0046011D" w:rsidP="0046011D">
      <w:pPr>
        <w:pStyle w:val="Ruller5"/>
        <w:rPr>
          <w:rtl/>
        </w:rPr>
      </w:pPr>
      <w:r>
        <w:rPr>
          <w:rFonts w:hint="cs"/>
          <w:rtl/>
        </w:rPr>
        <w:t xml:space="preserve">"[...] לדעתי, כאן הכוונה יכולה להיות רק לאדם בלתי-נשוי החי במסגרת החברה הקיבוצית, כאשר יש לילד, בנוסף להורים, גם חברת ילדים ומטפלת מסורה הדואגת לו [...] </w:t>
      </w:r>
      <w:r w:rsidRPr="007B462B">
        <w:rPr>
          <w:rFonts w:ascii="Century" w:hAnsi="Century" w:cs="Miriam" w:hint="cs"/>
          <w:b/>
          <w:spacing w:val="0"/>
          <w:szCs w:val="24"/>
          <w:rtl/>
        </w:rPr>
        <w:t>ספק אם בצורת חיים אחרת נוכל ליצור לילד בית חם, אווירה משפחתית נאותה,</w:t>
      </w:r>
      <w:r>
        <w:rPr>
          <w:rFonts w:hint="cs"/>
          <w:rtl/>
        </w:rPr>
        <w:t xml:space="preserve"> דברים שהם בעיקר החסרים לילד, ושעל-ידי אימוץ אנו רוצים ליצרם" (ההדגשה הוספה </w:t>
      </w:r>
      <w:r>
        <w:rPr>
          <w:rtl/>
        </w:rPr>
        <w:t>–</w:t>
      </w:r>
      <w:r>
        <w:rPr>
          <w:rFonts w:hint="cs"/>
          <w:rtl/>
        </w:rPr>
        <w:t xml:space="preserve">ע' פ'; </w:t>
      </w:r>
      <w:proofErr w:type="spellStart"/>
      <w:r>
        <w:rPr>
          <w:rFonts w:hint="cs"/>
          <w:rtl/>
        </w:rPr>
        <w:t>ד"כ</w:t>
      </w:r>
      <w:proofErr w:type="spellEnd"/>
      <w:r>
        <w:rPr>
          <w:rFonts w:hint="cs"/>
          <w:rtl/>
        </w:rPr>
        <w:t xml:space="preserve"> 20.1.1959, 935).</w:t>
      </w:r>
    </w:p>
    <w:p w:rsidR="0046011D" w:rsidRDefault="0046011D" w:rsidP="0046011D">
      <w:pPr>
        <w:pStyle w:val="Ruller5"/>
        <w:rPr>
          <w:rtl/>
        </w:rPr>
      </w:pPr>
      <w:r>
        <w:rPr>
          <w:rFonts w:hint="cs"/>
          <w:rtl/>
        </w:rPr>
        <w:t xml:space="preserve"> </w:t>
      </w:r>
    </w:p>
    <w:p w:rsidR="0046011D" w:rsidRDefault="0046011D" w:rsidP="0046011D">
      <w:pPr>
        <w:pStyle w:val="Ruller5"/>
        <w:rPr>
          <w:rtl/>
        </w:rPr>
      </w:pPr>
    </w:p>
    <w:p w:rsidR="0046011D" w:rsidRPr="00765947" w:rsidRDefault="0046011D" w:rsidP="0046011D">
      <w:pPr>
        <w:pStyle w:val="Ruller4"/>
        <w:rPr>
          <w:rtl/>
        </w:rPr>
      </w:pPr>
      <w:r w:rsidRPr="00765947">
        <w:rPr>
          <w:rFonts w:hint="cs"/>
          <w:rtl/>
        </w:rPr>
        <w:t>בנוסף לאמ</w:t>
      </w:r>
      <w:r>
        <w:rPr>
          <w:rFonts w:hint="cs"/>
          <w:rtl/>
        </w:rPr>
        <w:t>ור, בין חברי הכנסת התעוררה מחלוק</w:t>
      </w:r>
      <w:r w:rsidRPr="00765947">
        <w:rPr>
          <w:rFonts w:hint="cs"/>
          <w:rtl/>
        </w:rPr>
        <w:t xml:space="preserve">ת ביחס לשאלה האם לכלול גם זוג שלא נישא, וחלק מחברי הכנסת הציעו להוסיף </w:t>
      </w:r>
      <w:r>
        <w:rPr>
          <w:rFonts w:hint="cs"/>
          <w:rtl/>
        </w:rPr>
        <w:t>אחרי המילים "איש ואשתו יחד" את התיבה "הנשואים כדין"</w:t>
      </w:r>
      <w:r w:rsidRPr="00765947">
        <w:rPr>
          <w:rFonts w:hint="cs"/>
          <w:rtl/>
        </w:rPr>
        <w:t xml:space="preserve"> (</w:t>
      </w:r>
      <w:r>
        <w:rPr>
          <w:rFonts w:hint="cs"/>
          <w:rtl/>
        </w:rPr>
        <w:t xml:space="preserve">ראו: </w:t>
      </w:r>
      <w:proofErr w:type="spellStart"/>
      <w:r w:rsidRPr="00765947">
        <w:rPr>
          <w:rFonts w:hint="cs"/>
          <w:rtl/>
        </w:rPr>
        <w:t>ד"כ</w:t>
      </w:r>
      <w:proofErr w:type="spellEnd"/>
      <w:r w:rsidRPr="00765947">
        <w:rPr>
          <w:rFonts w:hint="cs"/>
          <w:rtl/>
        </w:rPr>
        <w:t xml:space="preserve"> 20.1.1959, 934; </w:t>
      </w:r>
      <w:proofErr w:type="spellStart"/>
      <w:r w:rsidRPr="00765947">
        <w:rPr>
          <w:rFonts w:hint="cs"/>
          <w:rtl/>
        </w:rPr>
        <w:t>ד"כ</w:t>
      </w:r>
      <w:proofErr w:type="spellEnd"/>
      <w:r w:rsidRPr="00765947">
        <w:rPr>
          <w:rFonts w:hint="cs"/>
          <w:rtl/>
        </w:rPr>
        <w:t xml:space="preserve"> 2</w:t>
      </w:r>
      <w:r>
        <w:rPr>
          <w:rFonts w:hint="cs"/>
          <w:rtl/>
        </w:rPr>
        <w:t xml:space="preserve">.2.1960, 529; </w:t>
      </w:r>
      <w:proofErr w:type="spellStart"/>
      <w:r>
        <w:rPr>
          <w:rFonts w:hint="cs"/>
          <w:rtl/>
        </w:rPr>
        <w:t>ד"כ</w:t>
      </w:r>
      <w:proofErr w:type="spellEnd"/>
      <w:r>
        <w:rPr>
          <w:rFonts w:hint="cs"/>
          <w:rtl/>
        </w:rPr>
        <w:t xml:space="preserve"> 9.8.1960, 2138-2136</w:t>
      </w:r>
      <w:r w:rsidRPr="00765947">
        <w:rPr>
          <w:rFonts w:hint="cs"/>
          <w:rtl/>
        </w:rPr>
        <w:t xml:space="preserve">). </w:t>
      </w:r>
      <w:r>
        <w:rPr>
          <w:rFonts w:hint="cs"/>
          <w:rtl/>
        </w:rPr>
        <w:t xml:space="preserve">ואולם, כאמור, בסופו של יום לא נכללה בסעיף 3 תוספת כאמור. </w:t>
      </w:r>
    </w:p>
    <w:p w:rsidR="0046011D" w:rsidRDefault="0046011D" w:rsidP="0046011D">
      <w:pPr>
        <w:pStyle w:val="Ruller5"/>
        <w:rPr>
          <w:rtl/>
        </w:rPr>
      </w:pPr>
    </w:p>
    <w:p w:rsidR="0046011D" w:rsidRDefault="0046011D" w:rsidP="0046011D">
      <w:pPr>
        <w:pStyle w:val="Ruller4"/>
        <w:rPr>
          <w:rtl/>
        </w:rPr>
      </w:pPr>
      <w:r>
        <w:rPr>
          <w:rFonts w:hint="cs"/>
          <w:rtl/>
        </w:rPr>
        <w:t xml:space="preserve">כפי שצוין, התנאי שלפיו אימוץ יעשה על ידי "איש ואשתו יחד" לא שונה בעת חקיקת החוק מחדש בשנת 1981. בהתאם, לא נערך דיון מעמיק בתכליתו של הסעיף ואולם חברי הכנסת חזרו על העמדה שלפיה אימוץ בידי זוג הורים הוא אימוץ אשר יש בו להיטיב עם הילד המאומץ בהשוואה לאימוץ על ידי יחיד. וראו את דברי יו"ר ועדת חוקה, חוק ומשפט, חבר הכנסת דוד </w:t>
      </w:r>
      <w:proofErr w:type="spellStart"/>
      <w:r>
        <w:rPr>
          <w:rFonts w:hint="cs"/>
          <w:rtl/>
        </w:rPr>
        <w:t>גלס</w:t>
      </w:r>
      <w:proofErr w:type="spellEnd"/>
      <w:r>
        <w:rPr>
          <w:rFonts w:hint="cs"/>
          <w:rtl/>
        </w:rPr>
        <w:t>:</w:t>
      </w:r>
    </w:p>
    <w:p w:rsidR="0046011D" w:rsidRDefault="0046011D" w:rsidP="0046011D">
      <w:pPr>
        <w:pStyle w:val="Ruller41"/>
        <w:rPr>
          <w:rtl/>
        </w:rPr>
      </w:pPr>
    </w:p>
    <w:p w:rsidR="0046011D" w:rsidRDefault="0046011D" w:rsidP="0046011D">
      <w:pPr>
        <w:pStyle w:val="Ruller5"/>
        <w:rPr>
          <w:rtl/>
        </w:rPr>
      </w:pPr>
      <w:r>
        <w:rPr>
          <w:rFonts w:hint="cs"/>
          <w:rtl/>
        </w:rPr>
        <w:t xml:space="preserve">"אנו אומרים שהשיקול שכאשר יש </w:t>
      </w:r>
      <w:r w:rsidRPr="00C3422B">
        <w:rPr>
          <w:rFonts w:ascii="Century" w:hAnsi="Century" w:cs="Miriam" w:hint="cs"/>
          <w:b/>
          <w:spacing w:val="0"/>
          <w:szCs w:val="24"/>
          <w:rtl/>
        </w:rPr>
        <w:t>שני הורים</w:t>
      </w:r>
      <w:r w:rsidRPr="00C3422B">
        <w:rPr>
          <w:rFonts w:hint="cs"/>
          <w:rtl/>
        </w:rPr>
        <w:t xml:space="preserve"> </w:t>
      </w:r>
      <w:r>
        <w:rPr>
          <w:rFonts w:hint="cs"/>
          <w:rtl/>
        </w:rPr>
        <w:t xml:space="preserve">אז לא </w:t>
      </w:r>
      <w:proofErr w:type="spellStart"/>
      <w:r>
        <w:rPr>
          <w:rFonts w:hint="cs"/>
          <w:rtl/>
        </w:rPr>
        <w:t>איכפת</w:t>
      </w:r>
      <w:proofErr w:type="spellEnd"/>
      <w:r>
        <w:rPr>
          <w:rFonts w:hint="cs"/>
          <w:rtl/>
        </w:rPr>
        <w:t xml:space="preserve"> לנו אם זה מהמשפחה או לא קרובים. אנו רוצים </w:t>
      </w:r>
      <w:r>
        <w:rPr>
          <w:rFonts w:hint="cs"/>
          <w:rtl/>
        </w:rPr>
        <w:lastRenderedPageBreak/>
        <w:t xml:space="preserve">קודם כל </w:t>
      </w:r>
      <w:r w:rsidRPr="00C3422B">
        <w:rPr>
          <w:rFonts w:ascii="Century" w:hAnsi="Century" w:cs="Miriam" w:hint="cs"/>
          <w:b/>
          <w:spacing w:val="0"/>
          <w:szCs w:val="24"/>
          <w:rtl/>
        </w:rPr>
        <w:t>זוג הורים</w:t>
      </w:r>
      <w:r>
        <w:rPr>
          <w:rFonts w:hint="cs"/>
          <w:rtl/>
        </w:rPr>
        <w:t xml:space="preserve">. מתי מוכנים למסור </w:t>
      </w:r>
      <w:r w:rsidRPr="00C3422B">
        <w:rPr>
          <w:rFonts w:ascii="Century" w:hAnsi="Century" w:cs="Miriam" w:hint="cs"/>
          <w:b/>
          <w:spacing w:val="0"/>
          <w:szCs w:val="24"/>
          <w:rtl/>
        </w:rPr>
        <w:t>ליחיד</w:t>
      </w:r>
      <w:r>
        <w:rPr>
          <w:rFonts w:hint="cs"/>
          <w:rtl/>
        </w:rPr>
        <w:t xml:space="preserve">? אם יש קרוב והוא לא נשוי ואז כדי למנוע את הקונפליקט של העברת ילדים ממשפחה מרובת ילדים ליחיד [...]" (ההדגשות הוספו </w:t>
      </w:r>
      <w:r>
        <w:rPr>
          <w:rtl/>
        </w:rPr>
        <w:t>–</w:t>
      </w:r>
      <w:r>
        <w:rPr>
          <w:rFonts w:hint="cs"/>
          <w:rtl/>
        </w:rPr>
        <w:t xml:space="preserve"> ע' פ'; פרוטוקול ישיבה 300 של ועדת חוקה, חוק ומשפט,  הכנסת ה-9, 15 (27.4.1981)).  </w:t>
      </w:r>
    </w:p>
    <w:p w:rsidR="0046011D" w:rsidRDefault="0046011D" w:rsidP="0046011D">
      <w:pPr>
        <w:pStyle w:val="Ruller4"/>
        <w:numPr>
          <w:ilvl w:val="0"/>
          <w:numId w:val="0"/>
        </w:numPr>
        <w:rPr>
          <w:sz w:val="22"/>
          <w:rtl/>
        </w:rPr>
      </w:pPr>
    </w:p>
    <w:p w:rsidR="0046011D" w:rsidRDefault="0046011D" w:rsidP="0046011D">
      <w:pPr>
        <w:pStyle w:val="Ruller41"/>
        <w:rPr>
          <w:rtl/>
        </w:rPr>
      </w:pPr>
      <w:r>
        <w:rPr>
          <w:rtl/>
        </w:rPr>
        <w:tab/>
      </w:r>
      <w:r>
        <w:rPr>
          <w:rFonts w:hint="cs"/>
          <w:rtl/>
        </w:rPr>
        <w:t>מדברים אלה עולה תפיסת המחוקק שלפיה ילדים הגדלים במשפחות בעלות שני הורים מתפתחים טוב יותר מילדים במשפחות חד-הוריות, ולפיכך דרך המלך במישור של טובת הילד היא אימוץ בידי זוג.</w:t>
      </w:r>
    </w:p>
    <w:p w:rsidR="0046011D" w:rsidRDefault="0046011D" w:rsidP="0046011D">
      <w:pPr>
        <w:pStyle w:val="Ruller41"/>
        <w:rPr>
          <w:rtl/>
        </w:rPr>
      </w:pPr>
    </w:p>
    <w:p w:rsidR="0046011D" w:rsidRDefault="0046011D" w:rsidP="0046011D">
      <w:pPr>
        <w:pStyle w:val="Ruller4"/>
      </w:pPr>
      <w:r>
        <w:rPr>
          <w:rFonts w:hint="cs"/>
          <w:rtl/>
        </w:rPr>
        <w:t>לסיכום פרק זה, סבורני כי ההיסטוריה החקיקתית מלמדת שהתכלית הסובייקטיבית אותה ראה המחוקק לנגד עיניו הייתה טובת הילד, בראי התפיסה שנהגה באותה העת שלפיה משמעותו של מושג זה היא לגדול בתא משפחתי שכולל זוג הורים. זאת, מתוך תפיסה שהקשר הזוגי ביניהם מהווה תנאי ליצירת תא משפחתי שיש בו לספק לילד יציבות וביטחון, בהשוואה לתא משפחתי חד-הורי</w:t>
      </w:r>
      <w:r w:rsidRPr="00832E91">
        <w:rPr>
          <w:rFonts w:hint="cs"/>
          <w:rtl/>
        </w:rPr>
        <w:t>. השא</w:t>
      </w:r>
      <w:r>
        <w:rPr>
          <w:rFonts w:hint="cs"/>
          <w:rtl/>
        </w:rPr>
        <w:t xml:space="preserve">לה שלפנינו </w:t>
      </w:r>
      <w:r>
        <w:rPr>
          <w:rtl/>
        </w:rPr>
        <w:t>–</w:t>
      </w:r>
      <w:r>
        <w:rPr>
          <w:rFonts w:hint="cs"/>
          <w:rtl/>
        </w:rPr>
        <w:t xml:space="preserve"> כשירותם של בני זוג מאותו המין </w:t>
      </w:r>
      <w:r>
        <w:rPr>
          <w:rtl/>
        </w:rPr>
        <w:t>–</w:t>
      </w:r>
      <w:r>
        <w:rPr>
          <w:rFonts w:hint="cs"/>
          <w:rtl/>
        </w:rPr>
        <w:t xml:space="preserve"> כלל לא ניצבה לפתחו של המחוקק. לפיכך איני סבור כי הפרשנות שלפיה בני זוג מאותו המין באים בגדרי הסעיף נסתרת על ידי ההיסטוריה החקיקתית. </w:t>
      </w:r>
    </w:p>
    <w:p w:rsidR="0046011D" w:rsidRPr="002708D8" w:rsidRDefault="0046011D" w:rsidP="0046011D">
      <w:pPr>
        <w:pStyle w:val="Ruller4"/>
        <w:numPr>
          <w:ilvl w:val="0"/>
          <w:numId w:val="0"/>
        </w:numPr>
        <w:rPr>
          <w:rFonts w:cs="Times New Roman"/>
          <w:szCs w:val="20"/>
        </w:rPr>
      </w:pPr>
    </w:p>
    <w:p w:rsidR="0046011D" w:rsidRDefault="0046011D" w:rsidP="0046011D">
      <w:pPr>
        <w:pStyle w:val="Ruller4"/>
        <w:numPr>
          <w:ilvl w:val="0"/>
          <w:numId w:val="0"/>
        </w:numPr>
        <w:rPr>
          <w:rFonts w:cs="Times New Roman"/>
          <w:szCs w:val="20"/>
          <w:rtl/>
        </w:rPr>
      </w:pPr>
      <w:r>
        <w:rPr>
          <w:sz w:val="28"/>
          <w:rtl/>
        </w:rPr>
        <w:tab/>
      </w:r>
      <w:r>
        <w:rPr>
          <w:rFonts w:hint="cs"/>
          <w:sz w:val="28"/>
          <w:rtl/>
        </w:rPr>
        <w:t>משאמרתי דברים אלה, אפנה לבחינתה של תכליתו האובייקטיבית של הסעיף.</w:t>
      </w:r>
    </w:p>
    <w:p w:rsidR="0046011D" w:rsidRDefault="0046011D" w:rsidP="0046011D">
      <w:pPr>
        <w:pStyle w:val="Ruller41"/>
        <w:rPr>
          <w:rtl/>
        </w:rPr>
      </w:pPr>
    </w:p>
    <w:p w:rsidR="0046011D" w:rsidRDefault="0046011D" w:rsidP="0046011D">
      <w:pPr>
        <w:pStyle w:val="Ruller41"/>
        <w:rPr>
          <w:rFonts w:ascii="Century" w:hAnsi="Century" w:cs="Miriam"/>
          <w:b/>
          <w:spacing w:val="0"/>
          <w:szCs w:val="24"/>
          <w:rtl/>
        </w:rPr>
      </w:pPr>
      <w:r>
        <w:rPr>
          <w:rFonts w:ascii="Century" w:hAnsi="Century" w:cs="Miriam" w:hint="cs"/>
          <w:b/>
          <w:spacing w:val="0"/>
          <w:szCs w:val="24"/>
          <w:rtl/>
        </w:rPr>
        <w:t>תכלית אובייקטיבית</w:t>
      </w:r>
    </w:p>
    <w:p w:rsidR="0046011D" w:rsidRDefault="0046011D" w:rsidP="0046011D">
      <w:pPr>
        <w:pStyle w:val="Ruller41"/>
        <w:rPr>
          <w:rtl/>
        </w:rPr>
      </w:pPr>
    </w:p>
    <w:p w:rsidR="0046011D" w:rsidRDefault="0046011D" w:rsidP="0046011D">
      <w:pPr>
        <w:pStyle w:val="Ruller4"/>
        <w:rPr>
          <w:rtl/>
        </w:rPr>
      </w:pPr>
      <w:r>
        <w:rPr>
          <w:rFonts w:hint="cs"/>
          <w:rtl/>
        </w:rPr>
        <w:t>תכליתו האובייקטיבית העיקרית של סעיף 3 חופפת לתכליתו הכללית של חוק האימוץ, והיא קידום טובת הילד. עיקרון זה מעוגן בסעיף 1(ב) לחוק, אשר מורה כי:</w:t>
      </w:r>
      <w:r w:rsidRPr="006E1DEB">
        <w:rPr>
          <w:rFonts w:hint="eastAsia"/>
          <w:rtl/>
        </w:rPr>
        <w:t xml:space="preserve"> </w:t>
      </w:r>
      <w:r w:rsidRPr="006E1DEB">
        <w:rPr>
          <w:rtl/>
        </w:rPr>
        <w:t>"</w:t>
      </w:r>
      <w:r w:rsidRPr="006E1DEB">
        <w:rPr>
          <w:rFonts w:hint="eastAsia"/>
          <w:rtl/>
        </w:rPr>
        <w:t>צו</w:t>
      </w:r>
      <w:r w:rsidRPr="006E1DEB">
        <w:rPr>
          <w:rtl/>
        </w:rPr>
        <w:t xml:space="preserve"> </w:t>
      </w:r>
      <w:r w:rsidRPr="006E1DEB">
        <w:rPr>
          <w:rFonts w:hint="eastAsia"/>
          <w:rtl/>
        </w:rPr>
        <w:t>אימוץ</w:t>
      </w:r>
      <w:r w:rsidRPr="006E1DEB">
        <w:rPr>
          <w:rtl/>
        </w:rPr>
        <w:t xml:space="preserve"> </w:t>
      </w:r>
      <w:r w:rsidRPr="006E1DEB">
        <w:rPr>
          <w:rFonts w:hint="eastAsia"/>
          <w:rtl/>
        </w:rPr>
        <w:t>וכל</w:t>
      </w:r>
      <w:r w:rsidRPr="006E1DEB">
        <w:rPr>
          <w:rtl/>
        </w:rPr>
        <w:t xml:space="preserve"> </w:t>
      </w:r>
      <w:r w:rsidRPr="006E1DEB">
        <w:rPr>
          <w:rFonts w:hint="eastAsia"/>
          <w:rtl/>
        </w:rPr>
        <w:t>החלטה</w:t>
      </w:r>
      <w:r w:rsidRPr="006E1DEB">
        <w:rPr>
          <w:rtl/>
        </w:rPr>
        <w:t xml:space="preserve"> </w:t>
      </w:r>
      <w:r w:rsidRPr="006E1DEB">
        <w:rPr>
          <w:rFonts w:hint="eastAsia"/>
          <w:rtl/>
        </w:rPr>
        <w:t>אחרת</w:t>
      </w:r>
      <w:r w:rsidRPr="006E1DEB">
        <w:rPr>
          <w:rtl/>
        </w:rPr>
        <w:t xml:space="preserve"> </w:t>
      </w:r>
      <w:r w:rsidRPr="006E1DEB">
        <w:rPr>
          <w:rFonts w:hint="eastAsia"/>
          <w:rtl/>
        </w:rPr>
        <w:t>לפי</w:t>
      </w:r>
      <w:r w:rsidRPr="006E1DEB">
        <w:rPr>
          <w:rtl/>
        </w:rPr>
        <w:t xml:space="preserve"> </w:t>
      </w:r>
      <w:r w:rsidRPr="006E1DEB">
        <w:rPr>
          <w:rFonts w:hint="eastAsia"/>
          <w:rtl/>
        </w:rPr>
        <w:t>חוק</w:t>
      </w:r>
      <w:r w:rsidRPr="006E1DEB">
        <w:rPr>
          <w:rtl/>
        </w:rPr>
        <w:t xml:space="preserve"> </w:t>
      </w:r>
      <w:r w:rsidRPr="006E1DEB">
        <w:rPr>
          <w:rFonts w:hint="eastAsia"/>
          <w:rtl/>
        </w:rPr>
        <w:t>זה</w:t>
      </w:r>
      <w:r w:rsidRPr="006E1DEB">
        <w:rPr>
          <w:rtl/>
        </w:rPr>
        <w:t xml:space="preserve"> </w:t>
      </w:r>
      <w:r w:rsidRPr="006E1DEB">
        <w:rPr>
          <w:rFonts w:hint="eastAsia"/>
          <w:rtl/>
        </w:rPr>
        <w:t>יינתנו</w:t>
      </w:r>
      <w:r w:rsidRPr="006E1DEB">
        <w:rPr>
          <w:rtl/>
        </w:rPr>
        <w:t xml:space="preserve"> </w:t>
      </w:r>
      <w:r w:rsidRPr="006E1DEB">
        <w:rPr>
          <w:rFonts w:hint="eastAsia"/>
          <w:rtl/>
        </w:rPr>
        <w:t>אם</w:t>
      </w:r>
      <w:r w:rsidRPr="006E1DEB">
        <w:rPr>
          <w:rtl/>
        </w:rPr>
        <w:t xml:space="preserve"> </w:t>
      </w:r>
      <w:r w:rsidRPr="006E1DEB">
        <w:rPr>
          <w:rFonts w:hint="eastAsia"/>
          <w:rtl/>
        </w:rPr>
        <w:t>נוכח</w:t>
      </w:r>
      <w:r w:rsidRPr="006E1DEB">
        <w:rPr>
          <w:rtl/>
        </w:rPr>
        <w:t xml:space="preserve"> </w:t>
      </w:r>
      <w:r w:rsidRPr="006E1DEB">
        <w:rPr>
          <w:rFonts w:hint="eastAsia"/>
          <w:rtl/>
        </w:rPr>
        <w:t>בית</w:t>
      </w:r>
      <w:r w:rsidRPr="006E1DEB">
        <w:rPr>
          <w:rtl/>
        </w:rPr>
        <w:t xml:space="preserve"> </w:t>
      </w:r>
      <w:r w:rsidRPr="006E1DEB">
        <w:rPr>
          <w:rFonts w:hint="eastAsia"/>
          <w:rtl/>
        </w:rPr>
        <w:t>המשפט</w:t>
      </w:r>
      <w:r w:rsidRPr="006E1DEB">
        <w:rPr>
          <w:rtl/>
        </w:rPr>
        <w:t xml:space="preserve"> </w:t>
      </w:r>
      <w:r w:rsidRPr="006E1DEB">
        <w:rPr>
          <w:rFonts w:hint="eastAsia"/>
          <w:rtl/>
        </w:rPr>
        <w:t>שהם</w:t>
      </w:r>
      <w:r w:rsidRPr="006E1DEB">
        <w:rPr>
          <w:rtl/>
        </w:rPr>
        <w:t xml:space="preserve"> </w:t>
      </w:r>
      <w:r w:rsidRPr="006E1DEB">
        <w:rPr>
          <w:rFonts w:hint="eastAsia"/>
          <w:rtl/>
        </w:rPr>
        <w:t>לטובת</w:t>
      </w:r>
      <w:r w:rsidRPr="006E1DEB">
        <w:rPr>
          <w:rtl/>
        </w:rPr>
        <w:t xml:space="preserve"> </w:t>
      </w:r>
      <w:r w:rsidRPr="006E1DEB">
        <w:rPr>
          <w:rFonts w:hint="eastAsia"/>
          <w:rtl/>
        </w:rPr>
        <w:t>המאומץ</w:t>
      </w:r>
      <w:r>
        <w:rPr>
          <w:rtl/>
        </w:rPr>
        <w:t>"</w:t>
      </w:r>
      <w:r>
        <w:rPr>
          <w:rFonts w:hint="cs"/>
          <w:rtl/>
        </w:rPr>
        <w:t xml:space="preserve">. </w:t>
      </w:r>
      <w:r w:rsidRPr="004A626F">
        <w:rPr>
          <w:rFonts w:hint="eastAsia"/>
          <w:rtl/>
        </w:rPr>
        <w:t>עיקרון</w:t>
      </w:r>
      <w:r w:rsidRPr="004A626F">
        <w:rPr>
          <w:rtl/>
        </w:rPr>
        <w:t xml:space="preserve"> </w:t>
      </w:r>
      <w:r w:rsidRPr="004A626F">
        <w:rPr>
          <w:rFonts w:hint="eastAsia"/>
          <w:rtl/>
        </w:rPr>
        <w:t>העל</w:t>
      </w:r>
      <w:r w:rsidRPr="004A626F">
        <w:rPr>
          <w:rtl/>
        </w:rPr>
        <w:t xml:space="preserve"> </w:t>
      </w:r>
      <w:r w:rsidRPr="004A626F">
        <w:rPr>
          <w:rFonts w:hint="eastAsia"/>
          <w:rtl/>
        </w:rPr>
        <w:t>של</w:t>
      </w:r>
      <w:r w:rsidRPr="004A626F">
        <w:rPr>
          <w:rtl/>
        </w:rPr>
        <w:t xml:space="preserve"> </w:t>
      </w:r>
      <w:r>
        <w:rPr>
          <w:rFonts w:hint="cs"/>
          <w:rtl/>
        </w:rPr>
        <w:t>טובת הילד</w:t>
      </w:r>
      <w:r w:rsidRPr="004A626F">
        <w:rPr>
          <w:rtl/>
        </w:rPr>
        <w:t xml:space="preserve"> </w:t>
      </w:r>
      <w:r>
        <w:rPr>
          <w:rFonts w:hint="cs"/>
          <w:rtl/>
        </w:rPr>
        <w:t>עובר כחוט השני לאורכן ולרוחבן של ההוראות המסדירות את תחום אימוץ הילדים; זהו "לב לבו" של חוק האימוץ, והוא מנחה את בית המשפט בפרשנותן של</w:t>
      </w:r>
      <w:r w:rsidRPr="004A626F">
        <w:rPr>
          <w:rtl/>
        </w:rPr>
        <w:t xml:space="preserve"> </w:t>
      </w:r>
      <w:r w:rsidRPr="004A626F">
        <w:rPr>
          <w:rFonts w:hint="eastAsia"/>
          <w:rtl/>
        </w:rPr>
        <w:t>כלל</w:t>
      </w:r>
      <w:r w:rsidRPr="004A626F">
        <w:rPr>
          <w:rtl/>
        </w:rPr>
        <w:t xml:space="preserve"> </w:t>
      </w:r>
      <w:r>
        <w:rPr>
          <w:rFonts w:hint="cs"/>
          <w:rtl/>
        </w:rPr>
        <w:t>ההוראות שקבועות בו</w:t>
      </w:r>
      <w:r w:rsidRPr="00081C62">
        <w:rPr>
          <w:rtl/>
        </w:rPr>
        <w:t>.</w:t>
      </w:r>
      <w:r>
        <w:rPr>
          <w:rFonts w:hint="cs"/>
          <w:rtl/>
        </w:rPr>
        <w:t xml:space="preserve"> אך לאחרונה עמדנו על עליונותו של שיקול זה בהקשר של חוק האימוץ:  </w:t>
      </w:r>
    </w:p>
    <w:p w:rsidR="0046011D" w:rsidRDefault="0046011D" w:rsidP="0046011D">
      <w:pPr>
        <w:pStyle w:val="Ruller41"/>
        <w:rPr>
          <w:rtl/>
        </w:rPr>
      </w:pPr>
    </w:p>
    <w:p w:rsidR="0046011D" w:rsidRDefault="0046011D" w:rsidP="0046011D">
      <w:pPr>
        <w:pStyle w:val="Ruller5"/>
        <w:rPr>
          <w:rtl/>
        </w:rPr>
      </w:pPr>
      <w:r>
        <w:rPr>
          <w:rFonts w:hint="cs"/>
          <w:rtl/>
        </w:rPr>
        <w:t>"</w:t>
      </w:r>
      <w:r w:rsidRPr="003F42C4">
        <w:rPr>
          <w:rFonts w:hint="eastAsia"/>
          <w:rtl/>
        </w:rPr>
        <w:t>בתחום</w:t>
      </w:r>
      <w:r w:rsidRPr="003F42C4">
        <w:rPr>
          <w:rtl/>
        </w:rPr>
        <w:t xml:space="preserve"> </w:t>
      </w:r>
      <w:r w:rsidRPr="003F42C4">
        <w:rPr>
          <w:rFonts w:hint="eastAsia"/>
          <w:rtl/>
        </w:rPr>
        <w:t>של</w:t>
      </w:r>
      <w:r w:rsidRPr="003F42C4">
        <w:rPr>
          <w:rtl/>
        </w:rPr>
        <w:t xml:space="preserve"> </w:t>
      </w:r>
      <w:r w:rsidRPr="003F42C4">
        <w:rPr>
          <w:rFonts w:hint="eastAsia"/>
          <w:rtl/>
        </w:rPr>
        <w:t>אימוץ</w:t>
      </w:r>
      <w:r w:rsidRPr="003F42C4">
        <w:rPr>
          <w:rtl/>
        </w:rPr>
        <w:t xml:space="preserve"> </w:t>
      </w:r>
      <w:r w:rsidRPr="003F42C4">
        <w:rPr>
          <w:rFonts w:hint="eastAsia"/>
          <w:rtl/>
        </w:rPr>
        <w:t>ילדים</w:t>
      </w:r>
      <w:r w:rsidRPr="003F42C4">
        <w:rPr>
          <w:rtl/>
        </w:rPr>
        <w:t xml:space="preserve">, </w:t>
      </w:r>
      <w:r w:rsidRPr="003F42C4">
        <w:rPr>
          <w:rFonts w:hint="eastAsia"/>
          <w:rtl/>
        </w:rPr>
        <w:t>כמו</w:t>
      </w:r>
      <w:r w:rsidRPr="003F42C4">
        <w:rPr>
          <w:rtl/>
        </w:rPr>
        <w:t xml:space="preserve"> </w:t>
      </w:r>
      <w:r w:rsidRPr="003F42C4">
        <w:rPr>
          <w:rFonts w:hint="eastAsia"/>
          <w:rtl/>
        </w:rPr>
        <w:t>בהקשר</w:t>
      </w:r>
      <w:r w:rsidRPr="003F42C4">
        <w:rPr>
          <w:rtl/>
        </w:rPr>
        <w:t xml:space="preserve"> </w:t>
      </w:r>
      <w:r w:rsidRPr="003F42C4">
        <w:rPr>
          <w:rFonts w:hint="eastAsia"/>
          <w:rtl/>
        </w:rPr>
        <w:t>של</w:t>
      </w:r>
      <w:r w:rsidRPr="003F42C4">
        <w:rPr>
          <w:rtl/>
        </w:rPr>
        <w:t xml:space="preserve"> </w:t>
      </w:r>
      <w:r w:rsidRPr="003F42C4">
        <w:rPr>
          <w:rFonts w:hint="eastAsia"/>
          <w:rtl/>
        </w:rPr>
        <w:t>טיפול</w:t>
      </w:r>
      <w:r w:rsidRPr="003F42C4">
        <w:rPr>
          <w:rtl/>
        </w:rPr>
        <w:t xml:space="preserve"> </w:t>
      </w:r>
      <w:r w:rsidRPr="003F42C4">
        <w:rPr>
          <w:rFonts w:hint="eastAsia"/>
          <w:rtl/>
        </w:rPr>
        <w:t>בענייניהם</w:t>
      </w:r>
      <w:r w:rsidRPr="003F42C4">
        <w:rPr>
          <w:rtl/>
        </w:rPr>
        <w:t xml:space="preserve"> </w:t>
      </w:r>
      <w:r w:rsidRPr="003F42C4">
        <w:rPr>
          <w:rFonts w:hint="eastAsia"/>
          <w:rtl/>
        </w:rPr>
        <w:t>של</w:t>
      </w:r>
      <w:r w:rsidRPr="003F42C4">
        <w:rPr>
          <w:rtl/>
        </w:rPr>
        <w:t xml:space="preserve"> </w:t>
      </w:r>
      <w:r w:rsidRPr="003F42C4">
        <w:rPr>
          <w:rFonts w:hint="eastAsia"/>
          <w:rtl/>
        </w:rPr>
        <w:t>קטינים</w:t>
      </w:r>
      <w:r w:rsidRPr="003F42C4">
        <w:rPr>
          <w:rtl/>
        </w:rPr>
        <w:t xml:space="preserve"> </w:t>
      </w:r>
      <w:r w:rsidRPr="003F42C4">
        <w:rPr>
          <w:rFonts w:hint="eastAsia"/>
          <w:rtl/>
        </w:rPr>
        <w:t>בכלל</w:t>
      </w:r>
      <w:r w:rsidRPr="003F42C4">
        <w:rPr>
          <w:rtl/>
        </w:rPr>
        <w:t xml:space="preserve">, </w:t>
      </w:r>
      <w:r w:rsidRPr="006E1DEB">
        <w:rPr>
          <w:rFonts w:ascii="Century" w:hAnsi="Century" w:cs="Miriam" w:hint="eastAsia"/>
          <w:b/>
          <w:spacing w:val="0"/>
          <w:szCs w:val="24"/>
          <w:rtl/>
        </w:rPr>
        <w:t>עקרון</w:t>
      </w:r>
      <w:r w:rsidRPr="006E1DEB">
        <w:rPr>
          <w:rFonts w:ascii="Century" w:hAnsi="Century" w:cs="Miriam"/>
          <w:b/>
          <w:spacing w:val="0"/>
          <w:szCs w:val="24"/>
          <w:rtl/>
        </w:rPr>
        <w:t xml:space="preserve"> </w:t>
      </w:r>
      <w:r w:rsidRPr="006E1DEB">
        <w:rPr>
          <w:rFonts w:ascii="Century" w:hAnsi="Century" w:cs="Miriam" w:hint="eastAsia"/>
          <w:b/>
          <w:spacing w:val="0"/>
          <w:szCs w:val="24"/>
          <w:rtl/>
        </w:rPr>
        <w:t>העל</w:t>
      </w:r>
      <w:r w:rsidRPr="006E1DEB">
        <w:rPr>
          <w:rFonts w:ascii="Century" w:hAnsi="Century" w:cs="Miriam"/>
          <w:b/>
          <w:spacing w:val="0"/>
          <w:szCs w:val="24"/>
          <w:rtl/>
        </w:rPr>
        <w:t xml:space="preserve"> </w:t>
      </w:r>
      <w:r w:rsidRPr="006E1DEB">
        <w:rPr>
          <w:rFonts w:ascii="Century" w:hAnsi="Century" w:cs="Miriam" w:hint="eastAsia"/>
          <w:b/>
          <w:spacing w:val="0"/>
          <w:szCs w:val="24"/>
          <w:rtl/>
        </w:rPr>
        <w:t>ו</w:t>
      </w:r>
      <w:r w:rsidRPr="006E1DEB">
        <w:rPr>
          <w:rFonts w:ascii="Century" w:hAnsi="Century" w:cs="Miriam" w:hint="cs"/>
          <w:b/>
          <w:spacing w:val="0"/>
          <w:szCs w:val="24"/>
          <w:rtl/>
        </w:rPr>
        <w:t>'</w:t>
      </w:r>
      <w:r w:rsidRPr="006E1DEB">
        <w:rPr>
          <w:rFonts w:ascii="Century" w:hAnsi="Century" w:cs="Miriam" w:hint="eastAsia"/>
          <w:b/>
          <w:spacing w:val="0"/>
          <w:szCs w:val="24"/>
          <w:rtl/>
        </w:rPr>
        <w:t>כוכב</w:t>
      </w:r>
      <w:r w:rsidRPr="006E1DEB">
        <w:rPr>
          <w:rFonts w:ascii="Century" w:hAnsi="Century" w:cs="Miriam"/>
          <w:b/>
          <w:spacing w:val="0"/>
          <w:szCs w:val="24"/>
          <w:rtl/>
        </w:rPr>
        <w:t xml:space="preserve"> </w:t>
      </w:r>
      <w:r w:rsidRPr="006E1DEB">
        <w:rPr>
          <w:rFonts w:ascii="Century" w:hAnsi="Century" w:cs="Miriam" w:hint="eastAsia"/>
          <w:b/>
          <w:spacing w:val="0"/>
          <w:szCs w:val="24"/>
          <w:rtl/>
        </w:rPr>
        <w:t>הצפון</w:t>
      </w:r>
      <w:r w:rsidRPr="006E1DEB">
        <w:rPr>
          <w:rFonts w:ascii="Century" w:hAnsi="Century" w:cs="Miriam" w:hint="cs"/>
          <w:b/>
          <w:spacing w:val="0"/>
          <w:szCs w:val="24"/>
          <w:rtl/>
        </w:rPr>
        <w:t>'</w:t>
      </w:r>
      <w:r w:rsidRPr="006E1DEB">
        <w:rPr>
          <w:rFonts w:ascii="Century" w:hAnsi="Century" w:cs="Miriam"/>
          <w:b/>
          <w:spacing w:val="0"/>
          <w:szCs w:val="24"/>
          <w:rtl/>
        </w:rPr>
        <w:t xml:space="preserve"> </w:t>
      </w:r>
      <w:r w:rsidRPr="006E1DEB">
        <w:rPr>
          <w:rFonts w:ascii="Century" w:hAnsi="Century" w:cs="Miriam" w:hint="eastAsia"/>
          <w:b/>
          <w:spacing w:val="0"/>
          <w:szCs w:val="24"/>
          <w:rtl/>
        </w:rPr>
        <w:t>הוא</w:t>
      </w:r>
      <w:r w:rsidRPr="006E1DEB">
        <w:rPr>
          <w:rFonts w:ascii="Century" w:hAnsi="Century" w:cs="Miriam"/>
          <w:b/>
          <w:spacing w:val="0"/>
          <w:szCs w:val="24"/>
          <w:rtl/>
        </w:rPr>
        <w:t xml:space="preserve"> </w:t>
      </w:r>
      <w:r w:rsidRPr="006E1DEB">
        <w:rPr>
          <w:rFonts w:ascii="Century" w:hAnsi="Century" w:cs="Miriam" w:hint="eastAsia"/>
          <w:b/>
          <w:spacing w:val="0"/>
          <w:szCs w:val="24"/>
          <w:rtl/>
        </w:rPr>
        <w:t>עקרון</w:t>
      </w:r>
      <w:r w:rsidRPr="006E1DEB">
        <w:rPr>
          <w:rFonts w:ascii="Century" w:hAnsi="Century" w:cs="Miriam"/>
          <w:b/>
          <w:spacing w:val="0"/>
          <w:szCs w:val="24"/>
          <w:rtl/>
        </w:rPr>
        <w:t xml:space="preserve"> </w:t>
      </w:r>
      <w:r w:rsidRPr="006E1DEB">
        <w:rPr>
          <w:rFonts w:ascii="Century" w:hAnsi="Century" w:cs="Miriam" w:hint="eastAsia"/>
          <w:b/>
          <w:spacing w:val="0"/>
          <w:szCs w:val="24"/>
          <w:rtl/>
        </w:rPr>
        <w:t>טובת</w:t>
      </w:r>
      <w:r w:rsidRPr="006E1DEB">
        <w:rPr>
          <w:rFonts w:ascii="Century" w:hAnsi="Century" w:cs="Miriam"/>
          <w:b/>
          <w:spacing w:val="0"/>
          <w:szCs w:val="24"/>
          <w:rtl/>
        </w:rPr>
        <w:t xml:space="preserve"> </w:t>
      </w:r>
      <w:r w:rsidRPr="006E1DEB">
        <w:rPr>
          <w:rFonts w:ascii="Century" w:hAnsi="Century" w:cs="Miriam" w:hint="eastAsia"/>
          <w:b/>
          <w:spacing w:val="0"/>
          <w:szCs w:val="24"/>
          <w:rtl/>
        </w:rPr>
        <w:t>הילד</w:t>
      </w:r>
      <w:r w:rsidRPr="006E1DEB">
        <w:rPr>
          <w:rFonts w:ascii="Century" w:hAnsi="Century" w:cs="Miriam"/>
          <w:b/>
          <w:spacing w:val="0"/>
          <w:szCs w:val="24"/>
          <w:rtl/>
        </w:rPr>
        <w:t>.</w:t>
      </w:r>
      <w:r w:rsidRPr="003F42C4">
        <w:rPr>
          <w:rtl/>
        </w:rPr>
        <w:t xml:space="preserve"> </w:t>
      </w:r>
      <w:r w:rsidRPr="003F42C4">
        <w:rPr>
          <w:rFonts w:hint="eastAsia"/>
          <w:rtl/>
        </w:rPr>
        <w:t>טובת</w:t>
      </w:r>
      <w:r w:rsidRPr="003F42C4">
        <w:rPr>
          <w:rtl/>
        </w:rPr>
        <w:t xml:space="preserve"> </w:t>
      </w:r>
      <w:r w:rsidRPr="003F42C4">
        <w:rPr>
          <w:rFonts w:hint="eastAsia"/>
          <w:rtl/>
        </w:rPr>
        <w:t>הילד</w:t>
      </w:r>
      <w:r w:rsidRPr="003F42C4">
        <w:rPr>
          <w:rtl/>
        </w:rPr>
        <w:t xml:space="preserve"> </w:t>
      </w:r>
      <w:r w:rsidRPr="003F42C4">
        <w:rPr>
          <w:rFonts w:hint="eastAsia"/>
          <w:rtl/>
        </w:rPr>
        <w:t>היא</w:t>
      </w:r>
      <w:r w:rsidRPr="003F42C4">
        <w:rPr>
          <w:rtl/>
        </w:rPr>
        <w:t xml:space="preserve"> </w:t>
      </w:r>
      <w:r w:rsidRPr="003F42C4">
        <w:rPr>
          <w:rFonts w:hint="eastAsia"/>
          <w:rtl/>
        </w:rPr>
        <w:t>לעולם</w:t>
      </w:r>
      <w:r w:rsidRPr="003F42C4">
        <w:rPr>
          <w:rtl/>
        </w:rPr>
        <w:t xml:space="preserve"> </w:t>
      </w:r>
      <w:r w:rsidRPr="003F42C4">
        <w:rPr>
          <w:rFonts w:hint="eastAsia"/>
          <w:rtl/>
        </w:rPr>
        <w:t>טובתו</w:t>
      </w:r>
      <w:r w:rsidRPr="003F42C4">
        <w:rPr>
          <w:rtl/>
        </w:rPr>
        <w:t xml:space="preserve"> </w:t>
      </w:r>
      <w:r w:rsidRPr="003F42C4">
        <w:rPr>
          <w:rFonts w:hint="eastAsia"/>
          <w:rtl/>
        </w:rPr>
        <w:t>של</w:t>
      </w:r>
      <w:r w:rsidRPr="003F42C4">
        <w:rPr>
          <w:rtl/>
        </w:rPr>
        <w:t xml:space="preserve"> </w:t>
      </w:r>
      <w:r w:rsidRPr="003F42C4">
        <w:rPr>
          <w:rFonts w:hint="eastAsia"/>
          <w:rtl/>
        </w:rPr>
        <w:t>הילד</w:t>
      </w:r>
      <w:r w:rsidRPr="003F42C4">
        <w:rPr>
          <w:rtl/>
        </w:rPr>
        <w:t xml:space="preserve"> </w:t>
      </w:r>
      <w:r w:rsidRPr="003F42C4">
        <w:rPr>
          <w:rFonts w:hint="eastAsia"/>
          <w:rtl/>
        </w:rPr>
        <w:t>הקונקרטי</w:t>
      </w:r>
      <w:r w:rsidRPr="003F42C4">
        <w:rPr>
          <w:rtl/>
        </w:rPr>
        <w:t xml:space="preserve"> </w:t>
      </w:r>
      <w:r w:rsidRPr="003F42C4">
        <w:rPr>
          <w:rFonts w:hint="eastAsia"/>
          <w:rtl/>
        </w:rPr>
        <w:t>על</w:t>
      </w:r>
      <w:r w:rsidRPr="003F42C4">
        <w:rPr>
          <w:rtl/>
        </w:rPr>
        <w:t xml:space="preserve"> </w:t>
      </w:r>
      <w:r w:rsidRPr="003F42C4">
        <w:rPr>
          <w:rFonts w:hint="eastAsia"/>
          <w:rtl/>
        </w:rPr>
        <w:t>מכלול</w:t>
      </w:r>
      <w:r w:rsidRPr="003F42C4">
        <w:rPr>
          <w:rtl/>
        </w:rPr>
        <w:t xml:space="preserve"> </w:t>
      </w:r>
      <w:r w:rsidRPr="003F42C4">
        <w:rPr>
          <w:rFonts w:hint="eastAsia"/>
          <w:rtl/>
        </w:rPr>
        <w:t>נסיבותיו</w:t>
      </w:r>
      <w:r w:rsidRPr="003F42C4">
        <w:rPr>
          <w:rtl/>
        </w:rPr>
        <w:t xml:space="preserve">, </w:t>
      </w:r>
      <w:r w:rsidRPr="003F42C4">
        <w:rPr>
          <w:rFonts w:hint="eastAsia"/>
          <w:rtl/>
        </w:rPr>
        <w:t>עברו</w:t>
      </w:r>
      <w:r w:rsidRPr="003F42C4">
        <w:rPr>
          <w:rtl/>
        </w:rPr>
        <w:t xml:space="preserve">, </w:t>
      </w:r>
      <w:r w:rsidRPr="003F42C4">
        <w:rPr>
          <w:rFonts w:hint="eastAsia"/>
          <w:rtl/>
        </w:rPr>
        <w:t>מאפייניו</w:t>
      </w:r>
      <w:r w:rsidRPr="003F42C4">
        <w:rPr>
          <w:rtl/>
        </w:rPr>
        <w:t xml:space="preserve"> </w:t>
      </w:r>
      <w:r w:rsidRPr="003F42C4">
        <w:rPr>
          <w:rFonts w:hint="eastAsia"/>
          <w:rtl/>
        </w:rPr>
        <w:t>וקשייו</w:t>
      </w:r>
      <w:r w:rsidRPr="003F42C4">
        <w:rPr>
          <w:rtl/>
        </w:rPr>
        <w:t xml:space="preserve">. </w:t>
      </w:r>
      <w:r w:rsidRPr="003F42C4">
        <w:rPr>
          <w:rFonts w:hint="eastAsia"/>
          <w:rtl/>
        </w:rPr>
        <w:t>בתחום</w:t>
      </w:r>
      <w:r w:rsidRPr="003F42C4">
        <w:rPr>
          <w:rtl/>
        </w:rPr>
        <w:t xml:space="preserve"> </w:t>
      </w:r>
      <w:r w:rsidRPr="003F42C4">
        <w:rPr>
          <w:rFonts w:hint="eastAsia"/>
          <w:rtl/>
        </w:rPr>
        <w:t>זה</w:t>
      </w:r>
      <w:r w:rsidRPr="003F42C4">
        <w:rPr>
          <w:rtl/>
        </w:rPr>
        <w:t xml:space="preserve"> </w:t>
      </w:r>
      <w:r w:rsidRPr="003F42C4">
        <w:rPr>
          <w:rFonts w:hint="eastAsia"/>
          <w:rtl/>
        </w:rPr>
        <w:t>נדרש</w:t>
      </w:r>
      <w:r w:rsidRPr="003F42C4">
        <w:rPr>
          <w:rtl/>
        </w:rPr>
        <w:t xml:space="preserve"> </w:t>
      </w:r>
      <w:r w:rsidRPr="003F42C4">
        <w:rPr>
          <w:rFonts w:hint="eastAsia"/>
          <w:rtl/>
        </w:rPr>
        <w:t>המענה</w:t>
      </w:r>
      <w:r w:rsidRPr="003F42C4">
        <w:rPr>
          <w:rtl/>
        </w:rPr>
        <w:t xml:space="preserve"> </w:t>
      </w:r>
      <w:r w:rsidRPr="003F42C4">
        <w:rPr>
          <w:rFonts w:hint="eastAsia"/>
          <w:rtl/>
        </w:rPr>
        <w:t>האופטימלי</w:t>
      </w:r>
      <w:r w:rsidRPr="003F42C4">
        <w:rPr>
          <w:rtl/>
        </w:rPr>
        <w:t xml:space="preserve"> </w:t>
      </w:r>
      <w:r w:rsidRPr="003F42C4">
        <w:rPr>
          <w:rFonts w:hint="eastAsia"/>
          <w:rtl/>
        </w:rPr>
        <w:t>לילד</w:t>
      </w:r>
      <w:r w:rsidRPr="003F42C4">
        <w:rPr>
          <w:rtl/>
        </w:rPr>
        <w:t xml:space="preserve"> </w:t>
      </w:r>
      <w:r w:rsidRPr="003F42C4">
        <w:rPr>
          <w:rFonts w:hint="eastAsia"/>
          <w:rtl/>
        </w:rPr>
        <w:t>שהנסיבות</w:t>
      </w:r>
      <w:r w:rsidRPr="003F42C4">
        <w:rPr>
          <w:rtl/>
        </w:rPr>
        <w:t xml:space="preserve"> </w:t>
      </w:r>
      <w:r w:rsidRPr="003F42C4">
        <w:rPr>
          <w:rFonts w:hint="eastAsia"/>
          <w:rtl/>
        </w:rPr>
        <w:t>של</w:t>
      </w:r>
      <w:r w:rsidRPr="003F42C4">
        <w:rPr>
          <w:rtl/>
        </w:rPr>
        <w:t xml:space="preserve"> </w:t>
      </w:r>
      <w:r w:rsidRPr="003F42C4">
        <w:rPr>
          <w:rFonts w:hint="eastAsia"/>
          <w:rtl/>
        </w:rPr>
        <w:t>ראשית</w:t>
      </w:r>
      <w:r w:rsidRPr="003F42C4">
        <w:rPr>
          <w:rtl/>
        </w:rPr>
        <w:t xml:space="preserve"> </w:t>
      </w:r>
      <w:r w:rsidRPr="003F42C4">
        <w:rPr>
          <w:rFonts w:hint="eastAsia"/>
          <w:rtl/>
        </w:rPr>
        <w:t>חייו</w:t>
      </w:r>
      <w:r w:rsidRPr="003F42C4">
        <w:rPr>
          <w:rtl/>
        </w:rPr>
        <w:t xml:space="preserve"> </w:t>
      </w:r>
      <w:r w:rsidRPr="003F42C4">
        <w:rPr>
          <w:rFonts w:hint="eastAsia"/>
          <w:rtl/>
        </w:rPr>
        <w:t>לא</w:t>
      </w:r>
      <w:r w:rsidRPr="003F42C4">
        <w:rPr>
          <w:rtl/>
        </w:rPr>
        <w:t xml:space="preserve"> </w:t>
      </w:r>
      <w:r w:rsidRPr="003F42C4">
        <w:rPr>
          <w:rFonts w:hint="eastAsia"/>
          <w:rtl/>
        </w:rPr>
        <w:t>היו</w:t>
      </w:r>
      <w:r w:rsidRPr="003F42C4">
        <w:rPr>
          <w:rtl/>
        </w:rPr>
        <w:t xml:space="preserve"> </w:t>
      </w:r>
      <w:r w:rsidRPr="003F42C4">
        <w:rPr>
          <w:rFonts w:hint="eastAsia"/>
          <w:rtl/>
        </w:rPr>
        <w:t>אופטימליות</w:t>
      </w:r>
      <w:r w:rsidRPr="003F42C4">
        <w:rPr>
          <w:rtl/>
        </w:rPr>
        <w:t xml:space="preserve"> </w:t>
      </w:r>
      <w:r w:rsidRPr="003F42C4">
        <w:rPr>
          <w:rFonts w:hint="eastAsia"/>
          <w:rtl/>
        </w:rPr>
        <w:t>ונדרש</w:t>
      </w:r>
      <w:r w:rsidRPr="003F42C4">
        <w:rPr>
          <w:rtl/>
        </w:rPr>
        <w:t xml:space="preserve"> </w:t>
      </w:r>
      <w:r w:rsidRPr="003F42C4">
        <w:rPr>
          <w:rFonts w:hint="eastAsia"/>
          <w:rtl/>
        </w:rPr>
        <w:t>עבורו</w:t>
      </w:r>
      <w:r w:rsidRPr="003F42C4">
        <w:rPr>
          <w:rtl/>
        </w:rPr>
        <w:t xml:space="preserve"> </w:t>
      </w:r>
      <w:r w:rsidRPr="003F42C4">
        <w:rPr>
          <w:rFonts w:hint="eastAsia"/>
          <w:rtl/>
        </w:rPr>
        <w:t>התיקון</w:t>
      </w:r>
      <w:r w:rsidRPr="003F42C4">
        <w:rPr>
          <w:rtl/>
        </w:rPr>
        <w:t xml:space="preserve"> </w:t>
      </w:r>
      <w:r w:rsidRPr="003F42C4">
        <w:rPr>
          <w:rFonts w:hint="eastAsia"/>
          <w:rtl/>
        </w:rPr>
        <w:t>המיטבי</w:t>
      </w:r>
      <w:r>
        <w:rPr>
          <w:rFonts w:hint="cs"/>
          <w:rtl/>
        </w:rPr>
        <w:t xml:space="preserve">" (ההדגשה הוספה </w:t>
      </w:r>
      <w:r>
        <w:rPr>
          <w:rtl/>
        </w:rPr>
        <w:t>–</w:t>
      </w:r>
      <w:r>
        <w:rPr>
          <w:rFonts w:hint="cs"/>
          <w:rtl/>
        </w:rPr>
        <w:t xml:space="preserve"> ע' פ'; </w:t>
      </w:r>
      <w:r w:rsidRPr="003F42C4">
        <w:rPr>
          <w:rFonts w:hint="eastAsia"/>
          <w:rtl/>
        </w:rPr>
        <w:t>בג</w:t>
      </w:r>
      <w:r w:rsidRPr="003F42C4">
        <w:rPr>
          <w:rtl/>
        </w:rPr>
        <w:t>"</w:t>
      </w:r>
      <w:r w:rsidRPr="003F42C4">
        <w:rPr>
          <w:rFonts w:hint="eastAsia"/>
          <w:rtl/>
        </w:rPr>
        <w:t>ץ</w:t>
      </w:r>
      <w:r w:rsidRPr="003F42C4">
        <w:rPr>
          <w:rtl/>
        </w:rPr>
        <w:t xml:space="preserve"> </w:t>
      </w:r>
      <w:r w:rsidRPr="003F42C4">
        <w:rPr>
          <w:rtl/>
        </w:rPr>
        <w:lastRenderedPageBreak/>
        <w:t xml:space="preserve">5336/03 </w:t>
      </w:r>
      <w:r w:rsidRPr="006E1DEB">
        <w:rPr>
          <w:rFonts w:ascii="Century" w:hAnsi="Century" w:cs="Miriam" w:hint="eastAsia"/>
          <w:b/>
          <w:spacing w:val="0"/>
          <w:szCs w:val="24"/>
          <w:rtl/>
        </w:rPr>
        <w:t>המרכז</w:t>
      </w:r>
      <w:r w:rsidRPr="006E1DEB">
        <w:rPr>
          <w:rFonts w:ascii="Century" w:hAnsi="Century" w:cs="Miriam"/>
          <w:b/>
          <w:spacing w:val="0"/>
          <w:szCs w:val="24"/>
          <w:rtl/>
        </w:rPr>
        <w:t xml:space="preserve"> </w:t>
      </w:r>
      <w:r w:rsidRPr="006E1DEB">
        <w:rPr>
          <w:rFonts w:ascii="Century" w:hAnsi="Century" w:cs="Miriam" w:hint="eastAsia"/>
          <w:b/>
          <w:spacing w:val="0"/>
          <w:szCs w:val="24"/>
          <w:rtl/>
        </w:rPr>
        <w:t>לפלורליזם</w:t>
      </w:r>
      <w:r w:rsidRPr="006E1DEB">
        <w:rPr>
          <w:rFonts w:ascii="Century" w:hAnsi="Century" w:cs="Miriam"/>
          <w:b/>
          <w:spacing w:val="0"/>
          <w:szCs w:val="24"/>
          <w:rtl/>
        </w:rPr>
        <w:t xml:space="preserve"> </w:t>
      </w:r>
      <w:r w:rsidRPr="006E1DEB">
        <w:rPr>
          <w:rFonts w:ascii="Century" w:hAnsi="Century" w:cs="Miriam" w:hint="eastAsia"/>
          <w:b/>
          <w:spacing w:val="0"/>
          <w:szCs w:val="24"/>
          <w:rtl/>
        </w:rPr>
        <w:t>יהודי</w:t>
      </w:r>
      <w:r w:rsidRPr="006E1DEB">
        <w:rPr>
          <w:rFonts w:ascii="Century" w:hAnsi="Century" w:cs="Miriam"/>
          <w:b/>
          <w:spacing w:val="0"/>
          <w:szCs w:val="24"/>
          <w:rtl/>
        </w:rPr>
        <w:t xml:space="preserve"> – </w:t>
      </w:r>
      <w:r w:rsidRPr="006E1DEB">
        <w:rPr>
          <w:rFonts w:ascii="Century" w:hAnsi="Century" w:cs="Miriam" w:hint="eastAsia"/>
          <w:b/>
          <w:spacing w:val="0"/>
          <w:szCs w:val="24"/>
          <w:rtl/>
        </w:rPr>
        <w:t>התנועה</w:t>
      </w:r>
      <w:r w:rsidRPr="006E1DEB">
        <w:rPr>
          <w:rFonts w:ascii="Century" w:hAnsi="Century" w:cs="Miriam"/>
          <w:b/>
          <w:spacing w:val="0"/>
          <w:szCs w:val="24"/>
          <w:rtl/>
        </w:rPr>
        <w:t xml:space="preserve"> </w:t>
      </w:r>
      <w:r w:rsidRPr="006E1DEB">
        <w:rPr>
          <w:rFonts w:ascii="Century" w:hAnsi="Century" w:cs="Miriam" w:hint="eastAsia"/>
          <w:b/>
          <w:spacing w:val="0"/>
          <w:szCs w:val="24"/>
          <w:rtl/>
        </w:rPr>
        <w:t>ליהדות</w:t>
      </w:r>
      <w:r w:rsidRPr="006E1DEB">
        <w:rPr>
          <w:rFonts w:ascii="Century" w:hAnsi="Century" w:cs="Miriam"/>
          <w:b/>
          <w:spacing w:val="0"/>
          <w:szCs w:val="24"/>
          <w:rtl/>
        </w:rPr>
        <w:t xml:space="preserve"> </w:t>
      </w:r>
      <w:r w:rsidRPr="006E1DEB">
        <w:rPr>
          <w:rFonts w:ascii="Century" w:hAnsi="Century" w:cs="Miriam" w:hint="eastAsia"/>
          <w:b/>
          <w:spacing w:val="0"/>
          <w:szCs w:val="24"/>
          <w:rtl/>
        </w:rPr>
        <w:t>מתקדמת</w:t>
      </w:r>
      <w:r w:rsidRPr="006E1DEB">
        <w:rPr>
          <w:rFonts w:ascii="Century" w:hAnsi="Century" w:cs="Miriam"/>
          <w:b/>
          <w:spacing w:val="0"/>
          <w:szCs w:val="24"/>
          <w:rtl/>
        </w:rPr>
        <w:t xml:space="preserve"> </w:t>
      </w:r>
      <w:r w:rsidRPr="006E1DEB">
        <w:rPr>
          <w:rFonts w:ascii="Century" w:hAnsi="Century" w:cs="Miriam" w:hint="eastAsia"/>
          <w:b/>
          <w:spacing w:val="0"/>
          <w:szCs w:val="24"/>
          <w:rtl/>
        </w:rPr>
        <w:t>נ</w:t>
      </w:r>
      <w:r w:rsidRPr="006E1DEB">
        <w:rPr>
          <w:rFonts w:ascii="Century" w:hAnsi="Century" w:cs="Miriam"/>
          <w:b/>
          <w:spacing w:val="0"/>
          <w:szCs w:val="24"/>
          <w:rtl/>
        </w:rPr>
        <w:t xml:space="preserve">' </w:t>
      </w:r>
      <w:r w:rsidRPr="006E1DEB">
        <w:rPr>
          <w:rFonts w:ascii="Century" w:hAnsi="Century" w:cs="Miriam" w:hint="eastAsia"/>
          <w:b/>
          <w:spacing w:val="0"/>
          <w:szCs w:val="24"/>
          <w:rtl/>
        </w:rPr>
        <w:t>משרד</w:t>
      </w:r>
      <w:r w:rsidRPr="006E1DEB">
        <w:rPr>
          <w:rFonts w:ascii="Century" w:hAnsi="Century" w:cs="Miriam"/>
          <w:b/>
          <w:spacing w:val="0"/>
          <w:szCs w:val="24"/>
          <w:rtl/>
        </w:rPr>
        <w:t xml:space="preserve"> </w:t>
      </w:r>
      <w:r w:rsidRPr="006E1DEB">
        <w:rPr>
          <w:rFonts w:ascii="Century" w:hAnsi="Century" w:cs="Miriam" w:hint="eastAsia"/>
          <w:b/>
          <w:spacing w:val="0"/>
          <w:szCs w:val="24"/>
          <w:rtl/>
        </w:rPr>
        <w:t>הרווחה</w:t>
      </w:r>
      <w:r w:rsidRPr="006E1DEB">
        <w:rPr>
          <w:rFonts w:ascii="Century" w:hAnsi="Century" w:cs="Miriam"/>
          <w:b/>
          <w:spacing w:val="0"/>
          <w:szCs w:val="24"/>
          <w:rtl/>
        </w:rPr>
        <w:t xml:space="preserve"> – </w:t>
      </w:r>
      <w:r w:rsidRPr="006E1DEB">
        <w:rPr>
          <w:rFonts w:ascii="Century" w:hAnsi="Century" w:cs="Miriam" w:hint="eastAsia"/>
          <w:b/>
          <w:spacing w:val="0"/>
          <w:szCs w:val="24"/>
          <w:rtl/>
        </w:rPr>
        <w:t>השירות</w:t>
      </w:r>
      <w:r w:rsidRPr="006E1DEB">
        <w:rPr>
          <w:rFonts w:ascii="Century" w:hAnsi="Century" w:cs="Miriam"/>
          <w:b/>
          <w:spacing w:val="0"/>
          <w:szCs w:val="24"/>
          <w:rtl/>
        </w:rPr>
        <w:t xml:space="preserve"> </w:t>
      </w:r>
      <w:r w:rsidRPr="006E1DEB">
        <w:rPr>
          <w:rFonts w:ascii="Century" w:hAnsi="Century" w:cs="Miriam" w:hint="eastAsia"/>
          <w:b/>
          <w:spacing w:val="0"/>
          <w:szCs w:val="24"/>
          <w:rtl/>
        </w:rPr>
        <w:t>למען</w:t>
      </w:r>
      <w:r w:rsidRPr="006E1DEB">
        <w:rPr>
          <w:rFonts w:ascii="Century" w:hAnsi="Century" w:cs="Miriam"/>
          <w:b/>
          <w:spacing w:val="0"/>
          <w:szCs w:val="24"/>
          <w:rtl/>
        </w:rPr>
        <w:t xml:space="preserve"> </w:t>
      </w:r>
      <w:r w:rsidRPr="006E1DEB">
        <w:rPr>
          <w:rFonts w:ascii="Century" w:hAnsi="Century" w:cs="Miriam" w:hint="eastAsia"/>
          <w:b/>
          <w:spacing w:val="0"/>
          <w:szCs w:val="24"/>
          <w:rtl/>
        </w:rPr>
        <w:t>הילד</w:t>
      </w:r>
      <w:r w:rsidRPr="003F42C4">
        <w:rPr>
          <w:rtl/>
        </w:rPr>
        <w:t xml:space="preserve">, </w:t>
      </w:r>
      <w:r w:rsidRPr="003F42C4">
        <w:rPr>
          <w:rFonts w:hint="eastAsia"/>
          <w:rtl/>
        </w:rPr>
        <w:t>פסקה</w:t>
      </w:r>
      <w:r w:rsidRPr="003F42C4">
        <w:rPr>
          <w:rtl/>
        </w:rPr>
        <w:t xml:space="preserve"> 8 (30.4.2023)</w:t>
      </w:r>
      <w:r>
        <w:rPr>
          <w:rFonts w:hint="cs"/>
          <w:rtl/>
        </w:rPr>
        <w:t xml:space="preserve"> (להלן: עניין </w:t>
      </w:r>
      <w:r w:rsidRPr="009E2F08">
        <w:rPr>
          <w:rFonts w:ascii="Century" w:hAnsi="Century" w:cs="Miriam" w:hint="cs"/>
          <w:b/>
          <w:spacing w:val="0"/>
          <w:szCs w:val="24"/>
          <w:rtl/>
        </w:rPr>
        <w:t>המרכז לפלורליזם יהודי</w:t>
      </w:r>
      <w:r>
        <w:rPr>
          <w:rFonts w:hint="cs"/>
          <w:rtl/>
        </w:rPr>
        <w:t>); כן ראו, מני רבים:</w:t>
      </w:r>
      <w:r w:rsidRPr="008525D1">
        <w:rPr>
          <w:rtl/>
        </w:rPr>
        <w:t xml:space="preserve"> </w:t>
      </w:r>
      <w:r>
        <w:rPr>
          <w:rFonts w:hint="cs"/>
          <w:rtl/>
        </w:rPr>
        <w:t xml:space="preserve">דנ"א 7015/94 </w:t>
      </w:r>
      <w:r w:rsidRPr="005E3CE4">
        <w:rPr>
          <w:rFonts w:ascii="Century" w:hAnsi="Century" w:cs="Miriam" w:hint="cs"/>
          <w:b/>
          <w:spacing w:val="0"/>
          <w:szCs w:val="24"/>
          <w:rtl/>
        </w:rPr>
        <w:t>היועץ המשפטי לממשלה נ' פלונית</w:t>
      </w:r>
      <w:r>
        <w:rPr>
          <w:rFonts w:hint="cs"/>
          <w:rtl/>
        </w:rPr>
        <w:t xml:space="preserve">, פ"ד נ(1) 48, 66 (1995) (להלן: עניין </w:t>
      </w:r>
      <w:r w:rsidRPr="002B1F6D">
        <w:rPr>
          <w:rFonts w:ascii="Century" w:hAnsi="Century" w:cs="Miriam" w:hint="cs"/>
          <w:b/>
          <w:spacing w:val="0"/>
          <w:szCs w:val="24"/>
          <w:rtl/>
        </w:rPr>
        <w:t>פלונית</w:t>
      </w:r>
      <w:r>
        <w:rPr>
          <w:rFonts w:hint="cs"/>
          <w:rtl/>
        </w:rPr>
        <w:t xml:space="preserve">); </w:t>
      </w:r>
      <w:r w:rsidRPr="00960C81">
        <w:rPr>
          <w:rFonts w:hint="eastAsia"/>
          <w:rtl/>
        </w:rPr>
        <w:t>ע</w:t>
      </w:r>
      <w:r w:rsidRPr="00960C81">
        <w:rPr>
          <w:rtl/>
        </w:rPr>
        <w:t>"</w:t>
      </w:r>
      <w:r w:rsidRPr="00960C81">
        <w:rPr>
          <w:rFonts w:hint="eastAsia"/>
          <w:rtl/>
        </w:rPr>
        <w:t>א</w:t>
      </w:r>
      <w:r w:rsidRPr="00960C81">
        <w:rPr>
          <w:rtl/>
        </w:rPr>
        <w:t xml:space="preserve"> 3798</w:t>
      </w:r>
      <w:r>
        <w:rPr>
          <w:rFonts w:hint="cs"/>
          <w:rtl/>
        </w:rPr>
        <w:t>/</w:t>
      </w:r>
      <w:r w:rsidRPr="00960C81">
        <w:rPr>
          <w:rtl/>
        </w:rPr>
        <w:t xml:space="preserve">94 </w:t>
      </w:r>
      <w:r w:rsidRPr="00960C81">
        <w:rPr>
          <w:rFonts w:ascii="Century" w:hAnsi="Century" w:cs="Miriam" w:hint="eastAsia"/>
          <w:b/>
          <w:spacing w:val="0"/>
          <w:szCs w:val="24"/>
          <w:rtl/>
        </w:rPr>
        <w:t>פלוני</w:t>
      </w:r>
      <w:r w:rsidRPr="00960C81">
        <w:rPr>
          <w:rFonts w:ascii="Century" w:hAnsi="Century" w:cs="Miriam"/>
          <w:b/>
          <w:spacing w:val="0"/>
          <w:szCs w:val="24"/>
          <w:rtl/>
        </w:rPr>
        <w:t xml:space="preserve"> </w:t>
      </w:r>
      <w:r w:rsidRPr="00960C81">
        <w:rPr>
          <w:rFonts w:ascii="Century" w:hAnsi="Century" w:cs="Miriam" w:hint="eastAsia"/>
          <w:b/>
          <w:spacing w:val="0"/>
          <w:szCs w:val="24"/>
          <w:rtl/>
        </w:rPr>
        <w:t>נ</w:t>
      </w:r>
      <w:r w:rsidRPr="00960C81">
        <w:rPr>
          <w:rFonts w:ascii="Century" w:hAnsi="Century" w:cs="Miriam"/>
          <w:b/>
          <w:spacing w:val="0"/>
          <w:szCs w:val="24"/>
          <w:rtl/>
        </w:rPr>
        <w:t xml:space="preserve">' </w:t>
      </w:r>
      <w:r w:rsidRPr="00960C81">
        <w:rPr>
          <w:rFonts w:ascii="Century" w:hAnsi="Century" w:cs="Miriam" w:hint="eastAsia"/>
          <w:b/>
          <w:spacing w:val="0"/>
          <w:szCs w:val="24"/>
          <w:rtl/>
        </w:rPr>
        <w:t>פלונית</w:t>
      </w:r>
      <w:r w:rsidRPr="00960C81">
        <w:rPr>
          <w:rtl/>
        </w:rPr>
        <w:t>,</w:t>
      </w:r>
      <w:r>
        <w:rPr>
          <w:rFonts w:hint="cs"/>
          <w:rtl/>
        </w:rPr>
        <w:t xml:space="preserve"> פ"ד </w:t>
      </w:r>
      <w:r w:rsidRPr="00960C81">
        <w:rPr>
          <w:rtl/>
        </w:rPr>
        <w:t xml:space="preserve"> </w:t>
      </w:r>
      <w:r w:rsidRPr="00960C81">
        <w:rPr>
          <w:rFonts w:hint="eastAsia"/>
          <w:rtl/>
        </w:rPr>
        <w:t>נ</w:t>
      </w:r>
      <w:r w:rsidRPr="00960C81">
        <w:rPr>
          <w:rtl/>
        </w:rPr>
        <w:t>(3) 133</w:t>
      </w:r>
      <w:r>
        <w:rPr>
          <w:rFonts w:hint="cs"/>
          <w:rtl/>
        </w:rPr>
        <w:t>, 144 (1996))</w:t>
      </w:r>
      <w:r w:rsidRPr="003F42C4">
        <w:rPr>
          <w:rtl/>
        </w:rPr>
        <w:t>.</w:t>
      </w:r>
    </w:p>
    <w:p w:rsidR="0046011D" w:rsidRDefault="0046011D" w:rsidP="0046011D">
      <w:pPr>
        <w:pStyle w:val="Ruller4"/>
        <w:numPr>
          <w:ilvl w:val="0"/>
          <w:numId w:val="0"/>
        </w:numPr>
        <w:rPr>
          <w:rtl/>
        </w:rPr>
      </w:pPr>
    </w:p>
    <w:p w:rsidR="0046011D" w:rsidRPr="002B0380" w:rsidRDefault="0046011D" w:rsidP="0046011D">
      <w:pPr>
        <w:pStyle w:val="Ruller4"/>
        <w:numPr>
          <w:ilvl w:val="0"/>
          <w:numId w:val="0"/>
        </w:numPr>
        <w:rPr>
          <w:rtl/>
        </w:rPr>
      </w:pPr>
      <w:r>
        <w:rPr>
          <w:rtl/>
        </w:rPr>
        <w:tab/>
      </w:r>
      <w:r>
        <w:rPr>
          <w:rFonts w:hint="cs"/>
          <w:rtl/>
        </w:rPr>
        <w:t xml:space="preserve">בהתאם לעקרון זה, רשויות הרווחה ובית המשפט שואפים להבטיח כי הילד יימסר להורים בעלי מסוגלות הורית שידאגו לצרכיו הגופניים, החומריים והנפשיים </w:t>
      </w:r>
      <w:r>
        <w:rPr>
          <w:rtl/>
        </w:rPr>
        <w:t>–</w:t>
      </w:r>
      <w:r>
        <w:rPr>
          <w:rFonts w:hint="cs"/>
          <w:rtl/>
        </w:rPr>
        <w:t xml:space="preserve"> בהתחשב בנסיבות חייו המיוחדות </w:t>
      </w:r>
      <w:r>
        <w:rPr>
          <w:rtl/>
        </w:rPr>
        <w:t>–</w:t>
      </w:r>
      <w:r>
        <w:rPr>
          <w:rFonts w:hint="cs"/>
          <w:rtl/>
        </w:rPr>
        <w:t xml:space="preserve"> ואשר ידאגו לכל מחסורו, ויקנו לו תחושת השתייכות, יציבות, קרבה, אהבה וחום, באופן שיבטיח את התפתחותו התקינה. אכן, הקשר בין אדם לבין הוריו הוא מהקשרים המגדירים והמעצבים את חייו (ראו והשוו: עניין </w:t>
      </w:r>
      <w:r w:rsidRPr="00622895">
        <w:rPr>
          <w:rFonts w:ascii="Century" w:hAnsi="Century" w:cs="Miriam" w:hint="cs"/>
          <w:b/>
          <w:spacing w:val="0"/>
          <w:sz w:val="22"/>
          <w:szCs w:val="24"/>
          <w:rtl/>
        </w:rPr>
        <w:t>ארד-פנקס</w:t>
      </w:r>
      <w:r>
        <w:rPr>
          <w:rFonts w:hint="cs"/>
          <w:rtl/>
        </w:rPr>
        <w:t xml:space="preserve">, פסקה 11 לפסק דיני). לפיכך, החלטת הרשויות מי ישמשו הוריו המאמצים של ילד שנמסר לאימוץ מהווה "דיני נפשות" של ממש (עניין </w:t>
      </w:r>
      <w:r w:rsidRPr="002B1F6D">
        <w:rPr>
          <w:rFonts w:ascii="Century" w:hAnsi="Century" w:cs="Miriam" w:hint="cs"/>
          <w:b/>
          <w:spacing w:val="0"/>
          <w:sz w:val="22"/>
          <w:szCs w:val="24"/>
          <w:rtl/>
        </w:rPr>
        <w:t>פלונית</w:t>
      </w:r>
      <w:r>
        <w:rPr>
          <w:rFonts w:hint="cs"/>
          <w:rtl/>
        </w:rPr>
        <w:t>, בעמ' 88). נוכח האמור לעיל, השאלה המרכזית שעלינו לשאול בבחינת התכליות האובייקטיביות היא האם הפרשנות שלפיה זוגות מאותו המין כשירים לאמץ יש בה לקדם או לפגוע בעיקרון טובת הילד.</w:t>
      </w:r>
    </w:p>
    <w:p w:rsidR="0046011D" w:rsidRPr="005E3CE4" w:rsidRDefault="0046011D" w:rsidP="0046011D">
      <w:pPr>
        <w:pStyle w:val="Ruller41"/>
      </w:pPr>
    </w:p>
    <w:p w:rsidR="0046011D" w:rsidRPr="006E7632" w:rsidRDefault="0046011D" w:rsidP="0046011D">
      <w:pPr>
        <w:pStyle w:val="Ruller4"/>
      </w:pPr>
      <w:r>
        <w:rPr>
          <w:rFonts w:hint="cs"/>
          <w:rtl/>
        </w:rPr>
        <w:t>כאמור, עמדת שר הרווחה שהובאה לעיל היא כי פרשנות שלפיה זוגות מאותו המין כשירים לאמץ מנוגדת לעיקרון טובת הילד. לעמדתו, מסירת ילד לאימוץ על ידי בני זוג מאותו המין תוסיף מטען של חריגות לחייו של הילד המאומץ, שתתוסף לתחושת החריגות שהוא נושא עמו מלכתחילה כתוצאה מעצם אימוצו. ואולם, טענה זו נטענה ללא תימוכין, והיא אף אינה מביאה בחשבון את ה</w:t>
      </w:r>
      <w:r w:rsidRPr="00EC1B74">
        <w:rPr>
          <w:rFonts w:hint="eastAsia"/>
          <w:rtl/>
        </w:rPr>
        <w:t>שינויים</w:t>
      </w:r>
      <w:r w:rsidRPr="00EC1B74">
        <w:rPr>
          <w:rtl/>
        </w:rPr>
        <w:t xml:space="preserve"> </w:t>
      </w:r>
      <w:r w:rsidRPr="00EC1B74">
        <w:rPr>
          <w:rFonts w:hint="eastAsia"/>
          <w:rtl/>
        </w:rPr>
        <w:t>החברתיים</w:t>
      </w:r>
      <w:r w:rsidRPr="00EC1B74">
        <w:rPr>
          <w:rtl/>
        </w:rPr>
        <w:t xml:space="preserve"> </w:t>
      </w:r>
      <w:r w:rsidRPr="00EC1B74">
        <w:rPr>
          <w:rFonts w:hint="eastAsia"/>
          <w:rtl/>
        </w:rPr>
        <w:t>ה</w:t>
      </w:r>
      <w:r>
        <w:rPr>
          <w:rFonts w:hint="cs"/>
          <w:rtl/>
        </w:rPr>
        <w:t>משמעותיים</w:t>
      </w:r>
      <w:r w:rsidRPr="00EC1B74">
        <w:rPr>
          <w:rtl/>
        </w:rPr>
        <w:t xml:space="preserve"> </w:t>
      </w:r>
      <w:r w:rsidRPr="00EC1B74">
        <w:rPr>
          <w:rFonts w:hint="eastAsia"/>
          <w:rtl/>
        </w:rPr>
        <w:t>שהחברה</w:t>
      </w:r>
      <w:r w:rsidRPr="00EC1B74">
        <w:rPr>
          <w:rtl/>
        </w:rPr>
        <w:t xml:space="preserve"> </w:t>
      </w:r>
      <w:r w:rsidRPr="00EC1B74">
        <w:rPr>
          <w:rFonts w:hint="eastAsia"/>
          <w:rtl/>
        </w:rPr>
        <w:t>הישראלית</w:t>
      </w:r>
      <w:r w:rsidRPr="00EC1B74">
        <w:rPr>
          <w:rtl/>
        </w:rPr>
        <w:t xml:space="preserve"> </w:t>
      </w:r>
      <w:r w:rsidRPr="00EC1B74">
        <w:rPr>
          <w:rFonts w:hint="eastAsia"/>
          <w:rtl/>
        </w:rPr>
        <w:t>ידעה</w:t>
      </w:r>
      <w:r>
        <w:rPr>
          <w:rFonts w:hint="cs"/>
          <w:rtl/>
        </w:rPr>
        <w:t xml:space="preserve"> לאורך השנים ביחסה למשפחות מעין אלה. אף לא הוצגה תשתית עובדתית שיש בה להצביע על השפעה שלילית אחרת שנגרמת לרווחתו של ילד כתוצאה מאימוץ על ידי בני זוג מאותו המין. ההיפך הוא הנכון</w:t>
      </w:r>
      <w:r w:rsidRPr="00B31D69">
        <w:rPr>
          <w:rtl/>
        </w:rPr>
        <w:t xml:space="preserve"> – </w:t>
      </w:r>
      <w:r w:rsidRPr="00B31D69">
        <w:rPr>
          <w:rFonts w:hint="eastAsia"/>
          <w:rtl/>
        </w:rPr>
        <w:t>העמדות</w:t>
      </w:r>
      <w:r w:rsidRPr="00B31D69">
        <w:rPr>
          <w:rtl/>
        </w:rPr>
        <w:t xml:space="preserve"> </w:t>
      </w:r>
      <w:r w:rsidRPr="00B31D69">
        <w:rPr>
          <w:rFonts w:hint="eastAsia"/>
          <w:rtl/>
        </w:rPr>
        <w:t>המבוססות</w:t>
      </w:r>
      <w:r w:rsidRPr="00B31D69">
        <w:rPr>
          <w:rtl/>
        </w:rPr>
        <w:t xml:space="preserve"> </w:t>
      </w:r>
      <w:r w:rsidRPr="00B31D69">
        <w:rPr>
          <w:rFonts w:hint="eastAsia"/>
          <w:rtl/>
        </w:rPr>
        <w:t>והמקצועיות</w:t>
      </w:r>
      <w:r w:rsidRPr="00B31D69">
        <w:rPr>
          <w:rtl/>
        </w:rPr>
        <w:t xml:space="preserve"> </w:t>
      </w:r>
      <w:r w:rsidRPr="00B31D69">
        <w:rPr>
          <w:rFonts w:hint="eastAsia"/>
          <w:rtl/>
        </w:rPr>
        <w:t>שהובאו</w:t>
      </w:r>
      <w:r w:rsidRPr="00B31D69">
        <w:rPr>
          <w:rtl/>
        </w:rPr>
        <w:t xml:space="preserve"> </w:t>
      </w:r>
      <w:r w:rsidRPr="00B31D69">
        <w:rPr>
          <w:rFonts w:hint="eastAsia"/>
          <w:rtl/>
        </w:rPr>
        <w:t>לפנינו</w:t>
      </w:r>
      <w:r w:rsidRPr="00B31D69">
        <w:rPr>
          <w:rtl/>
        </w:rPr>
        <w:t xml:space="preserve"> </w:t>
      </w:r>
      <w:r w:rsidRPr="00B31D69">
        <w:rPr>
          <w:rFonts w:hint="eastAsia"/>
          <w:rtl/>
        </w:rPr>
        <w:t>מעידות</w:t>
      </w:r>
      <w:r w:rsidRPr="00B31D69">
        <w:rPr>
          <w:rtl/>
        </w:rPr>
        <w:t xml:space="preserve"> </w:t>
      </w:r>
      <w:r w:rsidRPr="00B31D69">
        <w:rPr>
          <w:rFonts w:hint="eastAsia"/>
          <w:rtl/>
        </w:rPr>
        <w:t>כי</w:t>
      </w:r>
      <w:r w:rsidRPr="00B31D69">
        <w:rPr>
          <w:rtl/>
        </w:rPr>
        <w:t xml:space="preserve"> </w:t>
      </w:r>
      <w:r>
        <w:rPr>
          <w:rFonts w:hint="cs"/>
          <w:rtl/>
        </w:rPr>
        <w:t>להבדיל מ</w:t>
      </w:r>
      <w:r w:rsidRPr="00B31D69">
        <w:rPr>
          <w:rFonts w:hint="eastAsia"/>
          <w:rtl/>
        </w:rPr>
        <w:t>עמדת</w:t>
      </w:r>
      <w:r w:rsidRPr="00B31D69">
        <w:rPr>
          <w:rtl/>
        </w:rPr>
        <w:t xml:space="preserve"> </w:t>
      </w:r>
      <w:r w:rsidRPr="00B31D69">
        <w:rPr>
          <w:rFonts w:hint="eastAsia"/>
          <w:rtl/>
        </w:rPr>
        <w:t>השר</w:t>
      </w:r>
      <w:r w:rsidRPr="00B31D69">
        <w:rPr>
          <w:rtl/>
        </w:rPr>
        <w:t>,</w:t>
      </w:r>
      <w:r w:rsidRPr="00B31D69">
        <w:rPr>
          <w:rFonts w:hint="cs"/>
          <w:rtl/>
        </w:rPr>
        <w:t xml:space="preserve"> </w:t>
      </w:r>
      <w:r>
        <w:rPr>
          <w:rFonts w:hint="cs"/>
          <w:rtl/>
        </w:rPr>
        <w:t>לנטייה</w:t>
      </w:r>
      <w:r w:rsidRPr="00B31D69">
        <w:rPr>
          <w:rFonts w:hint="cs"/>
          <w:rtl/>
        </w:rPr>
        <w:t xml:space="preserve"> המינית</w:t>
      </w:r>
      <w:r>
        <w:rPr>
          <w:rFonts w:hint="cs"/>
          <w:rtl/>
        </w:rPr>
        <w:t xml:space="preserve"> של ההורים אין השפעה על טובת הילד.  כך, העמדה המקצועית העדכנית של השירות למען הילד </w:t>
      </w:r>
      <w:r>
        <w:rPr>
          <w:rtl/>
        </w:rPr>
        <w:t>–</w:t>
      </w:r>
      <w:r>
        <w:rPr>
          <w:rFonts w:hint="cs"/>
          <w:rtl/>
        </w:rPr>
        <w:t xml:space="preserve"> הוא הגורם המופקד על יישום החוק במשרד הרווחה </w:t>
      </w:r>
      <w:r>
        <w:rPr>
          <w:rtl/>
        </w:rPr>
        <w:t>–</w:t>
      </w:r>
      <w:r>
        <w:rPr>
          <w:rFonts w:hint="cs"/>
          <w:rtl/>
        </w:rPr>
        <w:t xml:space="preserve"> היא שיש למצוא לילד המועמד לאימוץ את המשפחה המתאימה ביותר לגדלו, ללא קשר לסוג הזוגיות או לנטייה המינית של בני הזוג (סעיף 20 לתגובה המשלימה מטעם המשיבים מיום 27.7.2023). העמדה העדכנית של השירות למען הילד עולה בקנה אחד עם הממצאים המחקריים בנושא: כפי שהוזכר לעיל, בתגובה לעמדת שר הרווחה, הוגשה עמדה עדכנית מטעם הסתדרות הפסיכולוגים, בה הודגש כי הממצאים המחקרים מצביעים באופן חד משמעי על כך שאין הבדל פסיכולוגי והתפתחותי בין ילדים שגדלים בקרב זוגות מאותו </w:t>
      </w:r>
      <w:r>
        <w:rPr>
          <w:rFonts w:hint="cs"/>
          <w:rtl/>
        </w:rPr>
        <w:lastRenderedPageBreak/>
        <w:t xml:space="preserve">מין בהשוואה לילדים שגדלים בקרב זוגות הטרוסקסואליים (כן ראו: </w:t>
      </w:r>
      <w:r w:rsidRPr="008A11D8">
        <w:rPr>
          <w:rFonts w:hint="cs"/>
          <w:rtl/>
        </w:rPr>
        <w:t>צבי טריגר ומילי</w:t>
      </w:r>
      <w:r w:rsidRPr="00533112">
        <w:rPr>
          <w:rFonts w:hint="cs"/>
          <w:rtl/>
        </w:rPr>
        <w:t xml:space="preserve"> </w:t>
      </w:r>
      <w:proofErr w:type="spellStart"/>
      <w:r w:rsidRPr="00533112">
        <w:rPr>
          <w:rFonts w:hint="cs"/>
          <w:rtl/>
        </w:rPr>
        <w:t>מאסס</w:t>
      </w:r>
      <w:proofErr w:type="spellEnd"/>
      <w:r w:rsidRPr="00533112">
        <w:rPr>
          <w:rFonts w:hint="cs"/>
          <w:rtl/>
        </w:rPr>
        <w:t xml:space="preserve"> "לקראת הצבת הילד</w:t>
      </w:r>
      <w:r>
        <w:rPr>
          <w:rFonts w:hint="cs"/>
          <w:rtl/>
        </w:rPr>
        <w:t xml:space="preserve"> במשפחתו במוקד סוגיית האימוץ: מפנה חיוני להרחבת האימוץ להורים </w:t>
      </w:r>
      <w:proofErr w:type="spellStart"/>
      <w:r>
        <w:rPr>
          <w:rFonts w:hint="cs"/>
          <w:rtl/>
        </w:rPr>
        <w:t>להט"בים</w:t>
      </w:r>
      <w:proofErr w:type="spellEnd"/>
      <w:r>
        <w:rPr>
          <w:rFonts w:hint="cs"/>
          <w:rtl/>
        </w:rPr>
        <w:t xml:space="preserve">" </w:t>
      </w:r>
      <w:r w:rsidRPr="00F92A3D">
        <w:rPr>
          <w:rFonts w:ascii="Century" w:hAnsi="Century" w:cs="Miriam" w:hint="eastAsia"/>
          <w:b/>
          <w:spacing w:val="0"/>
          <w:sz w:val="22"/>
          <w:szCs w:val="24"/>
          <w:rtl/>
        </w:rPr>
        <w:t>זכויות</w:t>
      </w:r>
      <w:r w:rsidRPr="00F92A3D">
        <w:rPr>
          <w:rFonts w:ascii="Century" w:hAnsi="Century" w:cs="Miriam"/>
          <w:b/>
          <w:spacing w:val="0"/>
          <w:sz w:val="22"/>
          <w:szCs w:val="24"/>
          <w:rtl/>
        </w:rPr>
        <w:t xml:space="preserve"> </w:t>
      </w:r>
      <w:r w:rsidRPr="00F92A3D">
        <w:rPr>
          <w:rFonts w:ascii="Century" w:hAnsi="Century" w:cs="Miriam" w:hint="eastAsia"/>
          <w:b/>
          <w:spacing w:val="0"/>
          <w:sz w:val="22"/>
          <w:szCs w:val="24"/>
          <w:rtl/>
        </w:rPr>
        <w:t>הקהילה</w:t>
      </w:r>
      <w:r w:rsidRPr="00F92A3D">
        <w:rPr>
          <w:rFonts w:ascii="Century" w:hAnsi="Century" w:cs="Miriam"/>
          <w:b/>
          <w:spacing w:val="0"/>
          <w:sz w:val="22"/>
          <w:szCs w:val="24"/>
          <w:rtl/>
        </w:rPr>
        <w:t xml:space="preserve"> </w:t>
      </w:r>
      <w:r w:rsidRPr="00F92A3D">
        <w:rPr>
          <w:rFonts w:ascii="Century" w:hAnsi="Century" w:cs="Miriam" w:hint="eastAsia"/>
          <w:b/>
          <w:spacing w:val="0"/>
          <w:sz w:val="22"/>
          <w:szCs w:val="24"/>
          <w:rtl/>
        </w:rPr>
        <w:t>הגאה</w:t>
      </w:r>
      <w:r w:rsidRPr="00F92A3D">
        <w:rPr>
          <w:rFonts w:ascii="Century" w:hAnsi="Century" w:cs="Miriam"/>
          <w:b/>
          <w:spacing w:val="0"/>
          <w:sz w:val="22"/>
          <w:szCs w:val="24"/>
          <w:rtl/>
        </w:rPr>
        <w:t xml:space="preserve"> </w:t>
      </w:r>
      <w:r w:rsidRPr="00F92A3D">
        <w:rPr>
          <w:rFonts w:ascii="Century" w:hAnsi="Century" w:cs="Miriam" w:hint="eastAsia"/>
          <w:b/>
          <w:spacing w:val="0"/>
          <w:sz w:val="22"/>
          <w:szCs w:val="24"/>
          <w:rtl/>
        </w:rPr>
        <w:t>בישראל</w:t>
      </w:r>
      <w:r w:rsidRPr="00F92A3D">
        <w:rPr>
          <w:rFonts w:ascii="Century" w:hAnsi="Century" w:cs="Miriam"/>
          <w:b/>
          <w:spacing w:val="0"/>
          <w:sz w:val="22"/>
          <w:szCs w:val="24"/>
          <w:rtl/>
        </w:rPr>
        <w:t xml:space="preserve">: </w:t>
      </w:r>
      <w:r w:rsidRPr="00F92A3D">
        <w:rPr>
          <w:rFonts w:ascii="Century" w:hAnsi="Century" w:cs="Miriam" w:hint="eastAsia"/>
          <w:b/>
          <w:spacing w:val="0"/>
          <w:sz w:val="22"/>
          <w:szCs w:val="24"/>
          <w:rtl/>
        </w:rPr>
        <w:t>משפט</w:t>
      </w:r>
      <w:r w:rsidRPr="00F92A3D">
        <w:rPr>
          <w:rFonts w:ascii="Century" w:hAnsi="Century" w:cs="Miriam"/>
          <w:b/>
          <w:spacing w:val="0"/>
          <w:sz w:val="22"/>
          <w:szCs w:val="24"/>
          <w:rtl/>
        </w:rPr>
        <w:t xml:space="preserve">, </w:t>
      </w:r>
      <w:r w:rsidRPr="00F92A3D">
        <w:rPr>
          <w:rFonts w:ascii="Century" w:hAnsi="Century" w:cs="Miriam" w:hint="eastAsia"/>
          <w:b/>
          <w:spacing w:val="0"/>
          <w:sz w:val="22"/>
          <w:szCs w:val="24"/>
          <w:rtl/>
        </w:rPr>
        <w:t>נטייה</w:t>
      </w:r>
      <w:r w:rsidRPr="00F92A3D">
        <w:rPr>
          <w:rFonts w:ascii="Century" w:hAnsi="Century" w:cs="Miriam"/>
          <w:b/>
          <w:spacing w:val="0"/>
          <w:sz w:val="22"/>
          <w:szCs w:val="24"/>
          <w:rtl/>
        </w:rPr>
        <w:t xml:space="preserve"> </w:t>
      </w:r>
      <w:r w:rsidRPr="00F92A3D">
        <w:rPr>
          <w:rFonts w:ascii="Century" w:hAnsi="Century" w:cs="Miriam" w:hint="eastAsia"/>
          <w:b/>
          <w:spacing w:val="0"/>
          <w:sz w:val="22"/>
          <w:szCs w:val="24"/>
          <w:rtl/>
        </w:rPr>
        <w:t>מינית</w:t>
      </w:r>
      <w:r w:rsidRPr="00F92A3D">
        <w:rPr>
          <w:rFonts w:ascii="Century" w:hAnsi="Century" w:cs="Miriam"/>
          <w:b/>
          <w:spacing w:val="0"/>
          <w:sz w:val="22"/>
          <w:szCs w:val="24"/>
          <w:rtl/>
        </w:rPr>
        <w:t xml:space="preserve"> </w:t>
      </w:r>
      <w:r w:rsidRPr="00F92A3D">
        <w:rPr>
          <w:rFonts w:ascii="Century" w:hAnsi="Century" w:cs="Miriam" w:hint="eastAsia"/>
          <w:b/>
          <w:spacing w:val="0"/>
          <w:sz w:val="22"/>
          <w:szCs w:val="24"/>
          <w:rtl/>
        </w:rPr>
        <w:t>וזהות</w:t>
      </w:r>
      <w:r w:rsidRPr="00F92A3D">
        <w:rPr>
          <w:rFonts w:ascii="Century" w:hAnsi="Century" w:cs="Miriam"/>
          <w:b/>
          <w:spacing w:val="0"/>
          <w:sz w:val="22"/>
          <w:szCs w:val="24"/>
          <w:rtl/>
        </w:rPr>
        <w:t xml:space="preserve"> </w:t>
      </w:r>
      <w:r w:rsidRPr="00F92A3D">
        <w:rPr>
          <w:rFonts w:ascii="Century" w:hAnsi="Century" w:cs="Miriam" w:hint="eastAsia"/>
          <w:b/>
          <w:spacing w:val="0"/>
          <w:sz w:val="22"/>
          <w:szCs w:val="24"/>
          <w:rtl/>
        </w:rPr>
        <w:t>מגדרית</w:t>
      </w:r>
      <w:r w:rsidRPr="00533112">
        <w:rPr>
          <w:rtl/>
        </w:rPr>
        <w:t xml:space="preserve"> </w:t>
      </w:r>
      <w:r>
        <w:rPr>
          <w:rtl/>
        </w:rPr>
        <w:t xml:space="preserve">437, </w:t>
      </w:r>
      <w:r>
        <w:rPr>
          <w:rFonts w:hint="cs"/>
          <w:rtl/>
        </w:rPr>
        <w:t xml:space="preserve">453-450 </w:t>
      </w:r>
      <w:r w:rsidRPr="00533112">
        <w:rPr>
          <w:rtl/>
        </w:rPr>
        <w:t>(</w:t>
      </w:r>
      <w:r w:rsidRPr="00533112">
        <w:rPr>
          <w:rFonts w:hint="eastAsia"/>
          <w:rtl/>
        </w:rPr>
        <w:t>עינב</w:t>
      </w:r>
      <w:r w:rsidRPr="00533112">
        <w:rPr>
          <w:rtl/>
        </w:rPr>
        <w:t xml:space="preserve"> </w:t>
      </w:r>
      <w:r w:rsidRPr="00533112">
        <w:rPr>
          <w:rFonts w:hint="eastAsia"/>
          <w:rtl/>
        </w:rPr>
        <w:t>מורגנשטרן</w:t>
      </w:r>
      <w:r w:rsidRPr="00533112">
        <w:rPr>
          <w:rtl/>
        </w:rPr>
        <w:t xml:space="preserve">, </w:t>
      </w:r>
      <w:r w:rsidRPr="00533112">
        <w:rPr>
          <w:rFonts w:hint="eastAsia"/>
          <w:rtl/>
        </w:rPr>
        <w:t>יניב</w:t>
      </w:r>
      <w:r w:rsidRPr="00533112">
        <w:rPr>
          <w:rtl/>
        </w:rPr>
        <w:t xml:space="preserve"> </w:t>
      </w:r>
      <w:proofErr w:type="spellStart"/>
      <w:r w:rsidRPr="00533112">
        <w:rPr>
          <w:rFonts w:hint="eastAsia"/>
          <w:rtl/>
        </w:rPr>
        <w:t>לושינסקי</w:t>
      </w:r>
      <w:proofErr w:type="spellEnd"/>
      <w:r w:rsidRPr="00533112">
        <w:rPr>
          <w:rtl/>
        </w:rPr>
        <w:t xml:space="preserve"> </w:t>
      </w:r>
      <w:r w:rsidRPr="00533112">
        <w:rPr>
          <w:rFonts w:hint="eastAsia"/>
          <w:rtl/>
        </w:rPr>
        <w:t>ואלון</w:t>
      </w:r>
      <w:r w:rsidRPr="00533112">
        <w:rPr>
          <w:rtl/>
        </w:rPr>
        <w:t xml:space="preserve"> </w:t>
      </w:r>
      <w:r w:rsidRPr="00533112">
        <w:rPr>
          <w:rFonts w:hint="eastAsia"/>
          <w:rtl/>
        </w:rPr>
        <w:t>הראל</w:t>
      </w:r>
      <w:r w:rsidRPr="00533112">
        <w:rPr>
          <w:rtl/>
        </w:rPr>
        <w:t xml:space="preserve"> </w:t>
      </w:r>
      <w:r w:rsidRPr="00533112">
        <w:rPr>
          <w:rFonts w:hint="eastAsia"/>
          <w:rtl/>
        </w:rPr>
        <w:t>עורכים</w:t>
      </w:r>
      <w:r w:rsidRPr="00533112">
        <w:rPr>
          <w:rtl/>
        </w:rPr>
        <w:t>, 2016</w:t>
      </w:r>
      <w:r>
        <w:rPr>
          <w:rFonts w:hint="cs"/>
          <w:rtl/>
        </w:rPr>
        <w:t xml:space="preserve">) (להלן: </w:t>
      </w:r>
      <w:r w:rsidRPr="00F92A3D">
        <w:rPr>
          <w:rFonts w:ascii="Century" w:hAnsi="Century" w:cs="Miriam" w:hint="cs"/>
          <w:b/>
          <w:spacing w:val="0"/>
          <w:sz w:val="22"/>
          <w:szCs w:val="24"/>
          <w:rtl/>
        </w:rPr>
        <w:t xml:space="preserve">טריגר </w:t>
      </w:r>
      <w:proofErr w:type="spellStart"/>
      <w:r w:rsidRPr="00F92A3D">
        <w:rPr>
          <w:rFonts w:ascii="Century" w:hAnsi="Century" w:cs="Miriam" w:hint="cs"/>
          <w:b/>
          <w:spacing w:val="0"/>
          <w:sz w:val="22"/>
          <w:szCs w:val="24"/>
          <w:rtl/>
        </w:rPr>
        <w:t>ומאסס</w:t>
      </w:r>
      <w:proofErr w:type="spellEnd"/>
      <w:r>
        <w:rPr>
          <w:rFonts w:hint="cs"/>
          <w:rtl/>
        </w:rPr>
        <w:t xml:space="preserve">)). הנה כי כן, העמדה המקצועית של השירות למען הילד והמחקרים העדכניים בנושא מלמדים כי הטענה שנטייה מינית משפיעה על רווחתו של הילד </w:t>
      </w:r>
      <w:r w:rsidRPr="006E7632">
        <w:rPr>
          <w:rFonts w:hint="cs"/>
          <w:rtl/>
        </w:rPr>
        <w:t xml:space="preserve">המאומץ או על טיבה של ההורות היא נטולת אחיזה.   </w:t>
      </w:r>
    </w:p>
    <w:p w:rsidR="0046011D" w:rsidRPr="006E7632" w:rsidRDefault="0046011D" w:rsidP="0046011D">
      <w:pPr>
        <w:pStyle w:val="Ruller4"/>
        <w:numPr>
          <w:ilvl w:val="0"/>
          <w:numId w:val="0"/>
        </w:numPr>
      </w:pPr>
    </w:p>
    <w:p w:rsidR="0046011D" w:rsidRPr="006E7632" w:rsidRDefault="0046011D" w:rsidP="0046011D">
      <w:pPr>
        <w:pStyle w:val="Ruller4"/>
        <w:rPr>
          <w:rtl/>
        </w:rPr>
      </w:pPr>
      <w:r w:rsidRPr="006E7632">
        <w:rPr>
          <w:rFonts w:hint="cs"/>
          <w:rtl/>
        </w:rPr>
        <w:t xml:space="preserve">בהינתן המסקנה האמורה שלפיה אין בנטייה המינית כשלעצמה כדי להשליך על טובת הילד, סבורני כי פרשנות שלפיה זוגות מאותו מין באים בגדרי סעיף 3 רישא תיטיב להגשים את התכלית של עיקרון טובת הילד. עיקרון זה מורה לנו כי יש לבחון באופן פרטני את מכלול נסיבותיו של הילד הקונקרטי המועמד לאימוץ, ואל מול זאת את השאלה אם בני הזוג שמבקשים לאמצו יענו על צרכיו בצורה מיטבית (ראו: עניין </w:t>
      </w:r>
      <w:r w:rsidRPr="006E7632">
        <w:rPr>
          <w:rFonts w:ascii="Century" w:hAnsi="Century" w:cs="Miriam" w:hint="cs"/>
          <w:b/>
          <w:spacing w:val="0"/>
          <w:sz w:val="22"/>
          <w:szCs w:val="24"/>
          <w:rtl/>
        </w:rPr>
        <w:t>המרכז לפלורליזם יהודי</w:t>
      </w:r>
      <w:r w:rsidRPr="006E7632">
        <w:rPr>
          <w:rFonts w:hint="cs"/>
          <w:rtl/>
        </w:rPr>
        <w:t>, פסקה 5). ואולם, כאמור, בגדר המדיניות שנהגה עד כה ניתנה לזוג מאותו מין עדיפות נמוכה באופן קטגורי ובמנותק מהערכה פרטנית של מסוגלותם ההורית; ככל שקיים זוג הטרוסקסואלי פוטנציאלי, כלל לא נבחנה התאמתו של זוג מאותו מין לילד המסוים; רק אם לא נמצא מתוך מאגר הזוגות ההטרוסקסואלים זוג כשיר ומתאים, פנה השירות למען הילד לזוגות מאותו מין. במצב דברים זה, לא מן הנמנע שילד יימסר לאימוץ לידי משפחה הטרוסקסואלי</w:t>
      </w:r>
      <w:r w:rsidRPr="006E7632">
        <w:rPr>
          <w:rFonts w:hint="eastAsia"/>
          <w:rtl/>
        </w:rPr>
        <w:t>ת</w:t>
      </w:r>
      <w:r w:rsidRPr="006E7632">
        <w:rPr>
          <w:rFonts w:hint="cs"/>
          <w:rtl/>
        </w:rPr>
        <w:t>, וזאת הגם שייתכן שיכולתה לענות על צרכיו של הילד הספציפי היא פחותה בהשוואה לאחד מהזוגות מאותו המין שמבקש לאמצו. מובן כי חסימה אפריורי</w:t>
      </w:r>
      <w:r w:rsidRPr="006E7632">
        <w:rPr>
          <w:rFonts w:hint="eastAsia"/>
          <w:rtl/>
        </w:rPr>
        <w:t>ת</w:t>
      </w:r>
      <w:r w:rsidRPr="006E7632">
        <w:rPr>
          <w:rFonts w:hint="cs"/>
          <w:rtl/>
        </w:rPr>
        <w:t xml:space="preserve"> של כלל בני הזוגות מאותו המין, </w:t>
      </w:r>
      <w:r w:rsidRPr="006E7632">
        <w:rPr>
          <w:rFonts w:hint="eastAsia"/>
          <w:rtl/>
        </w:rPr>
        <w:t>קודם</w:t>
      </w:r>
      <w:r w:rsidRPr="006E7632">
        <w:rPr>
          <w:rtl/>
        </w:rPr>
        <w:t xml:space="preserve"> </w:t>
      </w:r>
      <w:r w:rsidRPr="006E7632">
        <w:rPr>
          <w:rFonts w:hint="eastAsia"/>
          <w:rtl/>
        </w:rPr>
        <w:t>להערכתם</w:t>
      </w:r>
      <w:r w:rsidRPr="006E7632">
        <w:rPr>
          <w:rtl/>
        </w:rPr>
        <w:t xml:space="preserve"> </w:t>
      </w:r>
      <w:r w:rsidRPr="006E7632">
        <w:rPr>
          <w:rFonts w:hint="eastAsia"/>
          <w:rtl/>
        </w:rPr>
        <w:t>על</w:t>
      </w:r>
      <w:r w:rsidRPr="006E7632">
        <w:rPr>
          <w:rtl/>
        </w:rPr>
        <w:t xml:space="preserve"> </w:t>
      </w:r>
      <w:r w:rsidRPr="006E7632">
        <w:rPr>
          <w:rFonts w:hint="eastAsia"/>
          <w:rtl/>
        </w:rPr>
        <w:t>ידי</w:t>
      </w:r>
      <w:r w:rsidRPr="006E7632">
        <w:rPr>
          <w:rtl/>
        </w:rPr>
        <w:t xml:space="preserve"> </w:t>
      </w:r>
      <w:r w:rsidRPr="006E7632">
        <w:rPr>
          <w:rFonts w:hint="eastAsia"/>
          <w:rtl/>
        </w:rPr>
        <w:t>גורמי</w:t>
      </w:r>
      <w:r w:rsidRPr="006E7632">
        <w:rPr>
          <w:rtl/>
        </w:rPr>
        <w:t xml:space="preserve"> </w:t>
      </w:r>
      <w:r w:rsidRPr="006E7632">
        <w:rPr>
          <w:rFonts w:hint="eastAsia"/>
          <w:rtl/>
        </w:rPr>
        <w:t>המקצוע</w:t>
      </w:r>
      <w:r w:rsidRPr="006E7632">
        <w:rPr>
          <w:rtl/>
        </w:rPr>
        <w:t xml:space="preserve"> </w:t>
      </w:r>
      <w:r w:rsidRPr="006E7632">
        <w:rPr>
          <w:rFonts w:hint="cs"/>
          <w:rtl/>
        </w:rPr>
        <w:t>ומבלי שניתנת הדעת</w:t>
      </w:r>
      <w:r w:rsidRPr="006E7632">
        <w:rPr>
          <w:rtl/>
        </w:rPr>
        <w:t xml:space="preserve"> </w:t>
      </w:r>
      <w:r w:rsidRPr="006E7632">
        <w:rPr>
          <w:rFonts w:hint="cs"/>
          <w:rtl/>
        </w:rPr>
        <w:t>ל</w:t>
      </w:r>
      <w:r w:rsidRPr="006E7632">
        <w:rPr>
          <w:rFonts w:hint="eastAsia"/>
          <w:rtl/>
        </w:rPr>
        <w:t>צרכיו</w:t>
      </w:r>
      <w:r w:rsidRPr="006E7632">
        <w:rPr>
          <w:rtl/>
        </w:rPr>
        <w:t xml:space="preserve"> </w:t>
      </w:r>
      <w:r w:rsidRPr="006E7632">
        <w:rPr>
          <w:rFonts w:hint="eastAsia"/>
          <w:rtl/>
        </w:rPr>
        <w:t>ו</w:t>
      </w:r>
      <w:r w:rsidRPr="006E7632">
        <w:rPr>
          <w:rFonts w:hint="cs"/>
          <w:rtl/>
        </w:rPr>
        <w:t>ל</w:t>
      </w:r>
      <w:r w:rsidRPr="006E7632">
        <w:rPr>
          <w:rFonts w:hint="eastAsia"/>
          <w:rtl/>
        </w:rPr>
        <w:t>מאפייניו</w:t>
      </w:r>
      <w:r w:rsidRPr="006E7632">
        <w:rPr>
          <w:rtl/>
        </w:rPr>
        <w:t xml:space="preserve"> </w:t>
      </w:r>
      <w:r w:rsidRPr="006E7632">
        <w:rPr>
          <w:rFonts w:hint="eastAsia"/>
          <w:rtl/>
        </w:rPr>
        <w:t>של</w:t>
      </w:r>
      <w:r w:rsidRPr="006E7632">
        <w:rPr>
          <w:rtl/>
        </w:rPr>
        <w:t xml:space="preserve"> </w:t>
      </w:r>
      <w:r w:rsidRPr="006E7632">
        <w:rPr>
          <w:rFonts w:hint="eastAsia"/>
          <w:rtl/>
        </w:rPr>
        <w:t>הילד</w:t>
      </w:r>
      <w:r w:rsidRPr="006E7632">
        <w:rPr>
          <w:rtl/>
        </w:rPr>
        <w:t xml:space="preserve"> </w:t>
      </w:r>
      <w:r w:rsidRPr="006E7632">
        <w:rPr>
          <w:rFonts w:hint="eastAsia"/>
          <w:rtl/>
        </w:rPr>
        <w:t>הספציפי</w:t>
      </w:r>
      <w:r w:rsidRPr="006E7632">
        <w:rPr>
          <w:rFonts w:hint="cs"/>
          <w:rtl/>
        </w:rPr>
        <w:t xml:space="preserve">, אך על יסוד קריטריון שנמצא כלא רלוונטי על ידי גורמי המקצוע </w:t>
      </w:r>
      <w:r w:rsidRPr="006E7632">
        <w:rPr>
          <w:rtl/>
        </w:rPr>
        <w:t>–</w:t>
      </w:r>
      <w:r w:rsidRPr="006E7632">
        <w:rPr>
          <w:rFonts w:hint="cs"/>
          <w:rtl/>
        </w:rPr>
        <w:t xml:space="preserve"> לא עולה בקנה אחד עם התכלית של טובת הילד.</w:t>
      </w:r>
    </w:p>
    <w:p w:rsidR="0046011D" w:rsidRDefault="0046011D" w:rsidP="0046011D">
      <w:pPr>
        <w:pStyle w:val="Ruller41"/>
        <w:rPr>
          <w:rtl/>
        </w:rPr>
      </w:pPr>
    </w:p>
    <w:p w:rsidR="0046011D" w:rsidRDefault="0046011D" w:rsidP="005003F0">
      <w:pPr>
        <w:pStyle w:val="Ruller4"/>
        <w:rPr>
          <w:rtl/>
        </w:rPr>
      </w:pPr>
      <w:r>
        <w:rPr>
          <w:rFonts w:hint="cs"/>
          <w:rtl/>
        </w:rPr>
        <w:t xml:space="preserve">בנוסף לאמור, סבורני שכפי שציינה היועצת המשפטית לממשלה, הפרשנות שלפיה זוגות מאותו המין באים בגדרי התיבה "איש ואשתו יחד" מקדמת את טובת הילד גם על ידי יצירת המשכיות והרמוניה בין חוק האימוץ לבין ההסדר שקבוע בחוק האומנה. כידוע, פעמים רבות אומנה מהווה שלב מקדים להליך האימוץ, וכיום רוב המשפחות המאמצות שימשו במקור כמשפחות אומנה לילד (וראו: סעיף 30 </w:t>
      </w:r>
      <w:r w:rsidR="005003F0">
        <w:rPr>
          <w:rFonts w:hint="cs"/>
          <w:rtl/>
        </w:rPr>
        <w:t>לתגובה המשלימה</w:t>
      </w:r>
      <w:r>
        <w:rPr>
          <w:rFonts w:hint="cs"/>
          <w:rtl/>
        </w:rPr>
        <w:t xml:space="preserve"> מטעם המשיבים מיום 27.7.2023). לפי ההסדר שקבוע בחוק האומנה, בני זוג מאותו מין משמשים כמשפחות אומנה וזאת ללא שניתנת עדיפות לבני זוג הטרוסקסואליים. לפיכך, הפרשנות הקיימת שלפיה ניתנת עדיפות קטגורית לזוגות הטרוסקסואליים בהליך האימוץ </w:t>
      </w:r>
      <w:r>
        <w:rPr>
          <w:rFonts w:hint="cs"/>
          <w:rtl/>
        </w:rPr>
        <w:lastRenderedPageBreak/>
        <w:t>עשויה להקשות על זוגות מאותו המין ששימשו כמשפחת אומנה של ילד לאמצו בהמשך הדרך. מצב זה עלול להוביל למעבר נוסף של הילד למסגרת משפחתית אחרת לשם אימוצו. לחלופין, במצב הדברים שאין זו מטובתו של הילד להפרידו ממשפחת האומנה אליה נקשר, הדבר עשוי להוביל לכך שהוא לא יאומץ כלל (מאחר שכאמור אין הם כשירים לאמצו ככל שקיים זוג הטרוסקסואלי זמין). לעומת זאת, הפרשנות שלפיה בגדרי סעיף 3 רישא באים גם זוגות מ</w:t>
      </w:r>
      <w:r w:rsidRPr="00AE4552">
        <w:rPr>
          <w:rFonts w:hint="cs"/>
          <w:rtl/>
        </w:rPr>
        <w:t xml:space="preserve">אותו </w:t>
      </w:r>
      <w:r>
        <w:rPr>
          <w:rFonts w:hint="cs"/>
          <w:rtl/>
        </w:rPr>
        <w:t>ה</w:t>
      </w:r>
      <w:r w:rsidRPr="00AE4552">
        <w:rPr>
          <w:rFonts w:hint="cs"/>
          <w:rtl/>
        </w:rPr>
        <w:t>מין</w:t>
      </w:r>
      <w:r>
        <w:rPr>
          <w:rFonts w:hint="cs"/>
          <w:rtl/>
        </w:rPr>
        <w:t xml:space="preserve"> מאפשרת ליצור המשכיות בחייו של הילד המועמד לאימוץ, שכן היא מאפשרת לקבוע שהזוג ששימש כמשפחת האומנה של הילד כשיר לאמצו (ראו: </w:t>
      </w:r>
      <w:proofErr w:type="spellStart"/>
      <w:r>
        <w:rPr>
          <w:rFonts w:hint="cs"/>
          <w:rtl/>
        </w:rPr>
        <w:t>יואה</w:t>
      </w:r>
      <w:proofErr w:type="spellEnd"/>
      <w:r>
        <w:rPr>
          <w:rFonts w:hint="cs"/>
          <w:rtl/>
        </w:rPr>
        <w:t xml:space="preserve"> שורק </w:t>
      </w:r>
      <w:proofErr w:type="spellStart"/>
      <w:r>
        <w:rPr>
          <w:rFonts w:hint="cs"/>
          <w:rtl/>
        </w:rPr>
        <w:t>ופידא</w:t>
      </w:r>
      <w:proofErr w:type="spellEnd"/>
      <w:r>
        <w:rPr>
          <w:rFonts w:hint="cs"/>
          <w:rtl/>
        </w:rPr>
        <w:t xml:space="preserve"> </w:t>
      </w:r>
      <w:proofErr w:type="spellStart"/>
      <w:r>
        <w:rPr>
          <w:rFonts w:hint="cs"/>
          <w:rtl/>
        </w:rPr>
        <w:t>ניג'ם-אכתילאת</w:t>
      </w:r>
      <w:proofErr w:type="spellEnd"/>
      <w:r>
        <w:rPr>
          <w:rFonts w:hint="cs"/>
          <w:rtl/>
        </w:rPr>
        <w:t xml:space="preserve"> </w:t>
      </w:r>
      <w:r w:rsidRPr="00EC1B74">
        <w:rPr>
          <w:rFonts w:ascii="Century" w:hAnsi="Century" w:cs="Miriam" w:hint="cs"/>
          <w:b/>
          <w:spacing w:val="0"/>
          <w:sz w:val="22"/>
          <w:szCs w:val="24"/>
          <w:rtl/>
        </w:rPr>
        <w:t xml:space="preserve">מאימוץ ילדים לקהילת האימוץ </w:t>
      </w:r>
      <w:r w:rsidRPr="00EC1B74">
        <w:rPr>
          <w:rFonts w:ascii="Century" w:hAnsi="Century" w:cs="Miriam"/>
          <w:b/>
          <w:spacing w:val="0"/>
          <w:sz w:val="22"/>
          <w:szCs w:val="24"/>
          <w:rtl/>
        </w:rPr>
        <w:t>–</w:t>
      </w:r>
      <w:r w:rsidRPr="00EC1B74">
        <w:rPr>
          <w:rFonts w:ascii="Century" w:hAnsi="Century" w:cs="Miriam" w:hint="cs"/>
          <w:b/>
          <w:spacing w:val="0"/>
          <w:sz w:val="22"/>
          <w:szCs w:val="24"/>
          <w:rtl/>
        </w:rPr>
        <w:t xml:space="preserve"> חקר מקרים: אימוץ עם קשר ואימוץ על ידי משפחות אומנות</w:t>
      </w:r>
      <w:r w:rsidRPr="00EC1B74">
        <w:rPr>
          <w:rFonts w:hint="cs"/>
          <w:rtl/>
        </w:rPr>
        <w:t xml:space="preserve"> </w:t>
      </w:r>
      <w:r>
        <w:rPr>
          <w:rFonts w:hint="cs"/>
          <w:rtl/>
        </w:rPr>
        <w:t xml:space="preserve">(מכון </w:t>
      </w:r>
      <w:proofErr w:type="spellStart"/>
      <w:r>
        <w:rPr>
          <w:rFonts w:hint="cs"/>
          <w:rtl/>
        </w:rPr>
        <w:t>ברוקדייל</w:t>
      </w:r>
      <w:proofErr w:type="spellEnd"/>
      <w:r>
        <w:rPr>
          <w:rFonts w:hint="cs"/>
          <w:rtl/>
        </w:rPr>
        <w:t xml:space="preserve">, מרכז </w:t>
      </w:r>
      <w:proofErr w:type="spellStart"/>
      <w:r>
        <w:rPr>
          <w:rFonts w:hint="cs"/>
          <w:rtl/>
        </w:rPr>
        <w:t>אנגלברג</w:t>
      </w:r>
      <w:proofErr w:type="spellEnd"/>
      <w:r>
        <w:rPr>
          <w:rFonts w:hint="cs"/>
          <w:rtl/>
        </w:rPr>
        <w:t xml:space="preserve"> לילדים ולנוער, נובמבר 2012)). בנוסף לאמור, פרשנות זו מקדמת גם תכלית אובייקטיבית כללית של הרמוניה חקיקתית בין ההסדרים, בשים לב לכך שחוק האימוץ וחוק האומנה עוסקים </w:t>
      </w:r>
      <w:proofErr w:type="spellStart"/>
      <w:r>
        <w:rPr>
          <w:rFonts w:hint="cs"/>
          <w:rtl/>
        </w:rPr>
        <w:t>במאטריה</w:t>
      </w:r>
      <w:proofErr w:type="spellEnd"/>
      <w:r>
        <w:rPr>
          <w:rFonts w:hint="cs"/>
          <w:rtl/>
        </w:rPr>
        <w:t xml:space="preserve"> דומה; בשני המקרים, עסקינן בהסדרים שנועדו למצוא מסגרת משפחתית יציבה לילד שכבר נולד, בנסיבות שבהן הוא מוצא מחזקתם של הוריו הביולוגיים (ברק, תורת החקיקה, בעמ' 473-472). </w:t>
      </w:r>
    </w:p>
    <w:p w:rsidR="0046011D" w:rsidRPr="00A31BBD" w:rsidRDefault="0046011D" w:rsidP="0046011D">
      <w:pPr>
        <w:pStyle w:val="Ruller41"/>
        <w:rPr>
          <w:rtl/>
        </w:rPr>
      </w:pPr>
    </w:p>
    <w:p w:rsidR="0046011D" w:rsidRDefault="0046011D" w:rsidP="0046011D">
      <w:pPr>
        <w:pStyle w:val="Ruller4"/>
        <w:rPr>
          <w:rtl/>
        </w:rPr>
      </w:pPr>
      <w:r>
        <w:rPr>
          <w:rFonts w:hint="cs"/>
          <w:rtl/>
        </w:rPr>
        <w:t xml:space="preserve">הנה כי כן, יישומה של התכלית העיקרית של חוק האימוץ </w:t>
      </w:r>
      <w:r>
        <w:rPr>
          <w:rtl/>
        </w:rPr>
        <w:t>–</w:t>
      </w:r>
      <w:r>
        <w:rPr>
          <w:rFonts w:hint="cs"/>
          <w:rtl/>
        </w:rPr>
        <w:t xml:space="preserve"> טובת הילד </w:t>
      </w:r>
      <w:r>
        <w:rPr>
          <w:rtl/>
        </w:rPr>
        <w:t>–</w:t>
      </w:r>
      <w:r>
        <w:rPr>
          <w:rFonts w:hint="cs"/>
          <w:rtl/>
        </w:rPr>
        <w:t xml:space="preserve"> מעלה כי פרשנות מרחיבה שלפיה בני זוג מאותו מין באים בגדרי סעיף 3 רישא מיטיבה לקדמה. מסקנה זו עומדת על רגליה שלה, ואולם סבורני כי תכלית נוספת התומכת בפרשנות זו היא </w:t>
      </w:r>
      <w:r>
        <w:rPr>
          <w:rFonts w:hint="eastAsia"/>
          <w:rtl/>
        </w:rPr>
        <w:t>הגשמת</w:t>
      </w:r>
      <w:r>
        <w:rPr>
          <w:rFonts w:hint="cs"/>
          <w:rtl/>
        </w:rPr>
        <w:t>ה</w:t>
      </w:r>
      <w:r w:rsidRPr="00145D7D">
        <w:rPr>
          <w:rtl/>
        </w:rPr>
        <w:t xml:space="preserve"> </w:t>
      </w:r>
      <w:r w:rsidRPr="00145D7D">
        <w:rPr>
          <w:rFonts w:hint="eastAsia"/>
          <w:rtl/>
        </w:rPr>
        <w:t>של</w:t>
      </w:r>
      <w:r w:rsidRPr="00145D7D">
        <w:rPr>
          <w:rtl/>
        </w:rPr>
        <w:t xml:space="preserve"> </w:t>
      </w:r>
      <w:r>
        <w:rPr>
          <w:rFonts w:hint="cs"/>
          <w:rtl/>
        </w:rPr>
        <w:t xml:space="preserve">הזכות החוקתית לשוויון. כידוע, קידומן של זכויות אשר </w:t>
      </w:r>
      <w:r w:rsidRPr="00145D7D">
        <w:rPr>
          <w:rFonts w:hint="eastAsia"/>
          <w:rtl/>
        </w:rPr>
        <w:t>זכו</w:t>
      </w:r>
      <w:r w:rsidRPr="00145D7D">
        <w:rPr>
          <w:rtl/>
        </w:rPr>
        <w:t xml:space="preserve"> </w:t>
      </w:r>
      <w:r w:rsidRPr="00145D7D">
        <w:rPr>
          <w:rFonts w:hint="eastAsia"/>
          <w:rtl/>
        </w:rPr>
        <w:t>למעמד</w:t>
      </w:r>
      <w:r w:rsidRPr="00145D7D">
        <w:rPr>
          <w:rtl/>
        </w:rPr>
        <w:t xml:space="preserve"> </w:t>
      </w:r>
      <w:r w:rsidRPr="00145D7D">
        <w:rPr>
          <w:rFonts w:hint="eastAsia"/>
          <w:rtl/>
        </w:rPr>
        <w:t>חוקתי</w:t>
      </w:r>
      <w:r w:rsidRPr="00145D7D">
        <w:rPr>
          <w:rtl/>
        </w:rPr>
        <w:t xml:space="preserve"> </w:t>
      </w:r>
      <w:r w:rsidRPr="00145D7D">
        <w:rPr>
          <w:rFonts w:hint="eastAsia"/>
          <w:rtl/>
        </w:rPr>
        <w:t>בישראל</w:t>
      </w:r>
      <w:r w:rsidRPr="00165638">
        <w:rPr>
          <w:rFonts w:hint="cs"/>
          <w:rtl/>
        </w:rPr>
        <w:t xml:space="preserve"> </w:t>
      </w:r>
      <w:r>
        <w:rPr>
          <w:rFonts w:hint="cs"/>
          <w:rtl/>
        </w:rPr>
        <w:t>הוא</w:t>
      </w:r>
      <w:r w:rsidRPr="00165638">
        <w:rPr>
          <w:rFonts w:hint="cs"/>
          <w:rtl/>
        </w:rPr>
        <w:t xml:space="preserve"> חלק מתכליתו האובייקטיבית </w:t>
      </w:r>
      <w:r>
        <w:rPr>
          <w:rFonts w:hint="cs"/>
          <w:rtl/>
        </w:rPr>
        <w:t xml:space="preserve">הכללית </w:t>
      </w:r>
      <w:r w:rsidRPr="00165638">
        <w:rPr>
          <w:rFonts w:hint="cs"/>
          <w:rtl/>
        </w:rPr>
        <w:t xml:space="preserve">של כל דבר חקיקה (עניין </w:t>
      </w:r>
      <w:r w:rsidRPr="00165638">
        <w:rPr>
          <w:rFonts w:ascii="Century" w:hAnsi="Century" w:cs="Miriam" w:hint="cs"/>
          <w:b/>
          <w:spacing w:val="0"/>
          <w:sz w:val="22"/>
          <w:szCs w:val="24"/>
          <w:rtl/>
        </w:rPr>
        <w:t>אבו ערפה</w:t>
      </w:r>
      <w:r w:rsidRPr="00165638">
        <w:rPr>
          <w:rFonts w:hint="cs"/>
          <w:rtl/>
        </w:rPr>
        <w:t xml:space="preserve">, פסקה 46; </w:t>
      </w:r>
      <w:r w:rsidRPr="00165638">
        <w:rPr>
          <w:rFonts w:hint="eastAsia"/>
          <w:rtl/>
        </w:rPr>
        <w:t>ע</w:t>
      </w:r>
      <w:r w:rsidRPr="00165638">
        <w:rPr>
          <w:rtl/>
        </w:rPr>
        <w:t>"</w:t>
      </w:r>
      <w:r w:rsidRPr="00165638">
        <w:rPr>
          <w:rFonts w:hint="eastAsia"/>
          <w:rtl/>
        </w:rPr>
        <w:t>א</w:t>
      </w:r>
      <w:r w:rsidRPr="00165638">
        <w:rPr>
          <w:rtl/>
        </w:rPr>
        <w:t xml:space="preserve"> 524/88 </w:t>
      </w:r>
      <w:r w:rsidRPr="00165638">
        <w:rPr>
          <w:rFonts w:ascii="Century" w:hAnsi="Century" w:cs="Miriam"/>
          <w:b/>
          <w:spacing w:val="0"/>
          <w:sz w:val="22"/>
          <w:szCs w:val="24"/>
          <w:rtl/>
        </w:rPr>
        <w:t>"</w:t>
      </w:r>
      <w:r w:rsidRPr="00165638">
        <w:rPr>
          <w:rFonts w:ascii="Century" w:hAnsi="Century" w:cs="Miriam" w:hint="eastAsia"/>
          <w:b/>
          <w:spacing w:val="0"/>
          <w:sz w:val="22"/>
          <w:szCs w:val="24"/>
          <w:rtl/>
        </w:rPr>
        <w:t>פרי</w:t>
      </w:r>
      <w:r w:rsidRPr="00165638">
        <w:rPr>
          <w:rFonts w:ascii="Century" w:hAnsi="Century" w:cs="Miriam"/>
          <w:b/>
          <w:spacing w:val="0"/>
          <w:sz w:val="22"/>
          <w:szCs w:val="24"/>
          <w:rtl/>
        </w:rPr>
        <w:t xml:space="preserve"> </w:t>
      </w:r>
      <w:r w:rsidRPr="00165638">
        <w:rPr>
          <w:rFonts w:ascii="Century" w:hAnsi="Century" w:cs="Miriam" w:hint="eastAsia"/>
          <w:b/>
          <w:spacing w:val="0"/>
          <w:sz w:val="22"/>
          <w:szCs w:val="24"/>
          <w:rtl/>
        </w:rPr>
        <w:t>העמק</w:t>
      </w:r>
      <w:r w:rsidRPr="00165638">
        <w:rPr>
          <w:rFonts w:ascii="Century" w:hAnsi="Century" w:cs="Miriam"/>
          <w:b/>
          <w:spacing w:val="0"/>
          <w:sz w:val="22"/>
          <w:szCs w:val="24"/>
          <w:rtl/>
        </w:rPr>
        <w:t xml:space="preserve">" – </w:t>
      </w:r>
      <w:r w:rsidRPr="00165638">
        <w:rPr>
          <w:rFonts w:ascii="Century" w:hAnsi="Century" w:cs="Miriam" w:hint="eastAsia"/>
          <w:b/>
          <w:spacing w:val="0"/>
          <w:sz w:val="22"/>
          <w:szCs w:val="24"/>
          <w:rtl/>
        </w:rPr>
        <w:t>אגודה</w:t>
      </w:r>
      <w:r w:rsidRPr="00165638">
        <w:rPr>
          <w:rFonts w:ascii="Century" w:hAnsi="Century" w:cs="Miriam"/>
          <w:b/>
          <w:spacing w:val="0"/>
          <w:sz w:val="22"/>
          <w:szCs w:val="24"/>
          <w:rtl/>
        </w:rPr>
        <w:t xml:space="preserve"> </w:t>
      </w:r>
      <w:r w:rsidRPr="00165638">
        <w:rPr>
          <w:rFonts w:ascii="Century" w:hAnsi="Century" w:cs="Miriam" w:hint="eastAsia"/>
          <w:b/>
          <w:spacing w:val="0"/>
          <w:sz w:val="22"/>
          <w:szCs w:val="24"/>
          <w:rtl/>
        </w:rPr>
        <w:t>חקלאית</w:t>
      </w:r>
      <w:r w:rsidRPr="00165638">
        <w:rPr>
          <w:rFonts w:ascii="Century" w:hAnsi="Century" w:cs="Miriam"/>
          <w:b/>
          <w:spacing w:val="0"/>
          <w:sz w:val="22"/>
          <w:szCs w:val="24"/>
          <w:rtl/>
        </w:rPr>
        <w:t xml:space="preserve"> </w:t>
      </w:r>
      <w:r w:rsidRPr="00165638">
        <w:rPr>
          <w:rFonts w:ascii="Century" w:hAnsi="Century" w:cs="Miriam" w:hint="eastAsia"/>
          <w:b/>
          <w:spacing w:val="0"/>
          <w:sz w:val="22"/>
          <w:szCs w:val="24"/>
          <w:rtl/>
        </w:rPr>
        <w:t>שיתופית</w:t>
      </w:r>
      <w:r w:rsidRPr="00165638">
        <w:rPr>
          <w:rFonts w:ascii="Century" w:hAnsi="Century" w:cs="Miriam"/>
          <w:b/>
          <w:spacing w:val="0"/>
          <w:sz w:val="22"/>
          <w:szCs w:val="24"/>
          <w:rtl/>
        </w:rPr>
        <w:t xml:space="preserve"> </w:t>
      </w:r>
      <w:r w:rsidRPr="00165638">
        <w:rPr>
          <w:rFonts w:ascii="Century" w:hAnsi="Century" w:cs="Miriam" w:hint="eastAsia"/>
          <w:b/>
          <w:spacing w:val="0"/>
          <w:sz w:val="22"/>
          <w:szCs w:val="24"/>
          <w:rtl/>
        </w:rPr>
        <w:t>בע</w:t>
      </w:r>
      <w:r w:rsidRPr="00165638">
        <w:rPr>
          <w:rFonts w:ascii="Century" w:hAnsi="Century" w:cs="Miriam"/>
          <w:b/>
          <w:spacing w:val="0"/>
          <w:sz w:val="22"/>
          <w:szCs w:val="24"/>
          <w:rtl/>
        </w:rPr>
        <w:t>"</w:t>
      </w:r>
      <w:r w:rsidRPr="00165638">
        <w:rPr>
          <w:rFonts w:ascii="Century" w:hAnsi="Century" w:cs="Miriam" w:hint="eastAsia"/>
          <w:b/>
          <w:spacing w:val="0"/>
          <w:sz w:val="22"/>
          <w:szCs w:val="24"/>
          <w:rtl/>
        </w:rPr>
        <w:t>מ</w:t>
      </w:r>
      <w:r w:rsidRPr="00165638">
        <w:rPr>
          <w:rFonts w:ascii="Century" w:hAnsi="Century" w:cs="Miriam"/>
          <w:b/>
          <w:spacing w:val="0"/>
          <w:sz w:val="22"/>
          <w:szCs w:val="24"/>
          <w:rtl/>
        </w:rPr>
        <w:t xml:space="preserve"> </w:t>
      </w:r>
      <w:r w:rsidRPr="00165638">
        <w:rPr>
          <w:rFonts w:ascii="Century" w:hAnsi="Century" w:cs="Miriam" w:hint="eastAsia"/>
          <w:b/>
          <w:spacing w:val="0"/>
          <w:sz w:val="22"/>
          <w:szCs w:val="24"/>
          <w:rtl/>
        </w:rPr>
        <w:t>נ</w:t>
      </w:r>
      <w:r w:rsidRPr="00165638">
        <w:rPr>
          <w:rFonts w:ascii="Century" w:hAnsi="Century" w:cs="Miriam"/>
          <w:b/>
          <w:spacing w:val="0"/>
          <w:sz w:val="22"/>
          <w:szCs w:val="24"/>
          <w:rtl/>
        </w:rPr>
        <w:t xml:space="preserve">' </w:t>
      </w:r>
      <w:r w:rsidRPr="00165638">
        <w:rPr>
          <w:rFonts w:ascii="Century" w:hAnsi="Century" w:cs="Miriam" w:hint="eastAsia"/>
          <w:b/>
          <w:spacing w:val="0"/>
          <w:sz w:val="22"/>
          <w:szCs w:val="24"/>
          <w:rtl/>
        </w:rPr>
        <w:t>שדה</w:t>
      </w:r>
      <w:r w:rsidRPr="00165638">
        <w:rPr>
          <w:rFonts w:ascii="Century" w:hAnsi="Century" w:cs="Miriam"/>
          <w:b/>
          <w:spacing w:val="0"/>
          <w:sz w:val="22"/>
          <w:szCs w:val="24"/>
          <w:rtl/>
        </w:rPr>
        <w:t xml:space="preserve"> </w:t>
      </w:r>
      <w:r w:rsidRPr="00165638">
        <w:rPr>
          <w:rFonts w:ascii="Century" w:hAnsi="Century" w:cs="Miriam" w:hint="eastAsia"/>
          <w:b/>
          <w:spacing w:val="0"/>
          <w:sz w:val="22"/>
          <w:szCs w:val="24"/>
          <w:rtl/>
        </w:rPr>
        <w:t>יעקב</w:t>
      </w:r>
      <w:r w:rsidRPr="00165638">
        <w:rPr>
          <w:rtl/>
        </w:rPr>
        <w:t xml:space="preserve">, </w:t>
      </w:r>
      <w:r w:rsidRPr="00165638">
        <w:rPr>
          <w:rFonts w:hint="eastAsia"/>
          <w:rtl/>
        </w:rPr>
        <w:t>פ</w:t>
      </w:r>
      <w:r w:rsidRPr="00165638">
        <w:rPr>
          <w:rtl/>
        </w:rPr>
        <w:t>"</w:t>
      </w:r>
      <w:r w:rsidRPr="00165638">
        <w:rPr>
          <w:rFonts w:hint="eastAsia"/>
          <w:rtl/>
        </w:rPr>
        <w:t>ד</w:t>
      </w:r>
      <w:r w:rsidRPr="00165638">
        <w:rPr>
          <w:rtl/>
        </w:rPr>
        <w:t xml:space="preserve"> </w:t>
      </w:r>
      <w:r w:rsidRPr="00165638">
        <w:rPr>
          <w:rFonts w:hint="eastAsia"/>
          <w:rtl/>
        </w:rPr>
        <w:t>מה</w:t>
      </w:r>
      <w:r w:rsidRPr="00165638">
        <w:rPr>
          <w:rtl/>
        </w:rPr>
        <w:t xml:space="preserve">(4) 529, 561 (1991); </w:t>
      </w:r>
      <w:r w:rsidRPr="00165638">
        <w:rPr>
          <w:rFonts w:hint="eastAsia"/>
          <w:rtl/>
        </w:rPr>
        <w:t>ברק</w:t>
      </w:r>
      <w:r w:rsidRPr="00165638">
        <w:rPr>
          <w:rtl/>
        </w:rPr>
        <w:t>,</w:t>
      </w:r>
      <w:r w:rsidRPr="00165638">
        <w:rPr>
          <w:rFonts w:hint="cs"/>
          <w:rtl/>
        </w:rPr>
        <w:t xml:space="preserve"> פרשנות החקיקה, בעמ'</w:t>
      </w:r>
      <w:r w:rsidRPr="00165638">
        <w:rPr>
          <w:rtl/>
        </w:rPr>
        <w:t xml:space="preserve"> 553</w:t>
      </w:r>
      <w:r w:rsidRPr="00165638">
        <w:rPr>
          <w:rFonts w:hint="cs"/>
          <w:rtl/>
        </w:rPr>
        <w:t>).</w:t>
      </w:r>
      <w:r w:rsidRPr="00145D7D">
        <w:rPr>
          <w:rFonts w:hint="eastAsia"/>
          <w:rtl/>
        </w:rPr>
        <w:t xml:space="preserve"> </w:t>
      </w:r>
      <w:r>
        <w:rPr>
          <w:rFonts w:hint="cs"/>
          <w:rtl/>
        </w:rPr>
        <w:t>אמנם, תוקפו של ההסדר שקבוע בחוק האימוץ מוגן</w:t>
      </w:r>
      <w:r w:rsidRPr="00145D7D">
        <w:rPr>
          <w:rtl/>
        </w:rPr>
        <w:t xml:space="preserve"> </w:t>
      </w:r>
      <w:r w:rsidRPr="00145D7D">
        <w:rPr>
          <w:rFonts w:hint="eastAsia"/>
          <w:rtl/>
        </w:rPr>
        <w:t>מכוח</w:t>
      </w:r>
      <w:r w:rsidRPr="00145D7D">
        <w:rPr>
          <w:rtl/>
        </w:rPr>
        <w:t xml:space="preserve"> </w:t>
      </w:r>
      <w:r w:rsidRPr="00145D7D">
        <w:rPr>
          <w:rFonts w:hint="eastAsia"/>
          <w:rtl/>
        </w:rPr>
        <w:t>פסקת</w:t>
      </w:r>
      <w:r w:rsidRPr="00145D7D">
        <w:rPr>
          <w:rtl/>
        </w:rPr>
        <w:t xml:space="preserve"> </w:t>
      </w:r>
      <w:r w:rsidRPr="00145D7D">
        <w:rPr>
          <w:rFonts w:hint="eastAsia"/>
          <w:rtl/>
        </w:rPr>
        <w:t>שמירת</w:t>
      </w:r>
      <w:r w:rsidRPr="00145D7D">
        <w:rPr>
          <w:rtl/>
        </w:rPr>
        <w:t xml:space="preserve"> </w:t>
      </w:r>
      <w:r w:rsidRPr="00145D7D">
        <w:rPr>
          <w:rFonts w:hint="eastAsia"/>
          <w:rtl/>
        </w:rPr>
        <w:t>הדינים</w:t>
      </w:r>
      <w:r w:rsidRPr="00145D7D">
        <w:rPr>
          <w:rtl/>
        </w:rPr>
        <w:t xml:space="preserve"> </w:t>
      </w:r>
      <w:r w:rsidRPr="00145D7D">
        <w:rPr>
          <w:rFonts w:hint="eastAsia"/>
          <w:rtl/>
        </w:rPr>
        <w:t>שבסעיף</w:t>
      </w:r>
      <w:r w:rsidRPr="00145D7D">
        <w:rPr>
          <w:rtl/>
        </w:rPr>
        <w:t xml:space="preserve"> 10 </w:t>
      </w:r>
      <w:r w:rsidRPr="00145D7D">
        <w:rPr>
          <w:rFonts w:hint="eastAsia"/>
          <w:rtl/>
        </w:rPr>
        <w:t>לחוק</w:t>
      </w:r>
      <w:r>
        <w:rPr>
          <w:rFonts w:hint="cs"/>
          <w:rtl/>
        </w:rPr>
        <w:t>-</w:t>
      </w:r>
      <w:r w:rsidRPr="00145D7D">
        <w:rPr>
          <w:rFonts w:hint="eastAsia"/>
          <w:rtl/>
        </w:rPr>
        <w:t>יסוד</w:t>
      </w:r>
      <w:r>
        <w:rPr>
          <w:rFonts w:hint="cs"/>
          <w:rtl/>
        </w:rPr>
        <w:t>: כבוד האדם וחירותו</w:t>
      </w:r>
      <w:r w:rsidRPr="00145D7D">
        <w:rPr>
          <w:rtl/>
        </w:rPr>
        <w:t xml:space="preserve">. </w:t>
      </w:r>
      <w:r>
        <w:rPr>
          <w:rFonts w:hint="cs"/>
          <w:rtl/>
        </w:rPr>
        <w:t xml:space="preserve">ואולם, כפי שנפסק לא אחת, </w:t>
      </w:r>
      <w:r w:rsidRPr="00145D7D">
        <w:rPr>
          <w:rFonts w:hint="eastAsia"/>
          <w:rtl/>
        </w:rPr>
        <w:t>הגנה</w:t>
      </w:r>
      <w:r w:rsidRPr="00145D7D">
        <w:rPr>
          <w:rtl/>
        </w:rPr>
        <w:t xml:space="preserve"> </w:t>
      </w:r>
      <w:r w:rsidRPr="00145D7D">
        <w:rPr>
          <w:rFonts w:hint="eastAsia"/>
          <w:rtl/>
        </w:rPr>
        <w:t>זו</w:t>
      </w:r>
      <w:r w:rsidRPr="00145D7D">
        <w:rPr>
          <w:rtl/>
        </w:rPr>
        <w:t xml:space="preserve"> </w:t>
      </w:r>
      <w:r w:rsidRPr="00145D7D">
        <w:rPr>
          <w:rFonts w:hint="eastAsia"/>
          <w:rtl/>
        </w:rPr>
        <w:t>אינה</w:t>
      </w:r>
      <w:r w:rsidRPr="00145D7D">
        <w:rPr>
          <w:rtl/>
        </w:rPr>
        <w:t xml:space="preserve"> </w:t>
      </w:r>
      <w:r w:rsidRPr="00145D7D">
        <w:rPr>
          <w:rFonts w:hint="eastAsia"/>
          <w:rtl/>
        </w:rPr>
        <w:t>סוף</w:t>
      </w:r>
      <w:r w:rsidRPr="00145D7D">
        <w:rPr>
          <w:rtl/>
        </w:rPr>
        <w:t xml:space="preserve"> </w:t>
      </w:r>
      <w:r w:rsidRPr="00145D7D">
        <w:rPr>
          <w:rFonts w:hint="eastAsia"/>
          <w:rtl/>
        </w:rPr>
        <w:t>פסוק</w:t>
      </w:r>
      <w:r>
        <w:rPr>
          <w:rFonts w:hint="cs"/>
          <w:rtl/>
        </w:rPr>
        <w:t>,</w:t>
      </w:r>
      <w:r w:rsidRPr="00145D7D">
        <w:rPr>
          <w:rtl/>
        </w:rPr>
        <w:t xml:space="preserve"> </w:t>
      </w:r>
      <w:r>
        <w:rPr>
          <w:rFonts w:hint="cs"/>
          <w:rtl/>
        </w:rPr>
        <w:t xml:space="preserve">ויש לפרש כל דבר חקיקה </w:t>
      </w:r>
      <w:r w:rsidRPr="00145D7D">
        <w:rPr>
          <w:rtl/>
        </w:rPr>
        <w:t xml:space="preserve"> </w:t>
      </w:r>
      <w:r w:rsidRPr="00145D7D">
        <w:rPr>
          <w:rFonts w:hint="eastAsia"/>
          <w:rtl/>
        </w:rPr>
        <w:t>שקדם</w:t>
      </w:r>
      <w:r w:rsidRPr="00145D7D">
        <w:rPr>
          <w:rtl/>
        </w:rPr>
        <w:t xml:space="preserve"> </w:t>
      </w:r>
      <w:r w:rsidRPr="00145D7D">
        <w:rPr>
          <w:rFonts w:hint="eastAsia"/>
          <w:rtl/>
        </w:rPr>
        <w:t>לחוק</w:t>
      </w:r>
      <w:r w:rsidRPr="00145D7D">
        <w:rPr>
          <w:rtl/>
        </w:rPr>
        <w:t xml:space="preserve"> </w:t>
      </w:r>
      <w:r w:rsidRPr="00145D7D">
        <w:rPr>
          <w:rFonts w:hint="eastAsia"/>
          <w:rtl/>
        </w:rPr>
        <w:t>היסוד</w:t>
      </w:r>
      <w:r w:rsidRPr="00145D7D">
        <w:rPr>
          <w:rtl/>
        </w:rPr>
        <w:t xml:space="preserve"> </w:t>
      </w:r>
      <w:r>
        <w:rPr>
          <w:rFonts w:hint="cs"/>
          <w:rtl/>
        </w:rPr>
        <w:t>בהתאם ל</w:t>
      </w:r>
      <w:r w:rsidRPr="00145D7D">
        <w:rPr>
          <w:rFonts w:hint="eastAsia"/>
          <w:rtl/>
        </w:rPr>
        <w:t>עקרונות</w:t>
      </w:r>
      <w:r w:rsidRPr="00145D7D">
        <w:rPr>
          <w:rtl/>
        </w:rPr>
        <w:t xml:space="preserve"> </w:t>
      </w:r>
      <w:r>
        <w:rPr>
          <w:rFonts w:hint="eastAsia"/>
          <w:rtl/>
        </w:rPr>
        <w:t>ו</w:t>
      </w:r>
      <w:r>
        <w:rPr>
          <w:rFonts w:hint="cs"/>
          <w:rtl/>
        </w:rPr>
        <w:t>ל</w:t>
      </w:r>
      <w:r w:rsidRPr="00145D7D">
        <w:rPr>
          <w:rFonts w:hint="eastAsia"/>
          <w:rtl/>
        </w:rPr>
        <w:t>ערכים</w:t>
      </w:r>
      <w:r w:rsidRPr="00145D7D">
        <w:rPr>
          <w:rtl/>
        </w:rPr>
        <w:t xml:space="preserve"> </w:t>
      </w:r>
      <w:r w:rsidRPr="00145D7D">
        <w:rPr>
          <w:rFonts w:hint="eastAsia"/>
          <w:rtl/>
        </w:rPr>
        <w:t>שהתוו</w:t>
      </w:r>
      <w:r w:rsidRPr="00145D7D">
        <w:rPr>
          <w:rtl/>
        </w:rPr>
        <w:t xml:space="preserve"> </w:t>
      </w:r>
      <w:r w:rsidRPr="00145D7D">
        <w:rPr>
          <w:rFonts w:hint="eastAsia"/>
          <w:rtl/>
        </w:rPr>
        <w:t>בחוק</w:t>
      </w:r>
      <w:r>
        <w:rPr>
          <w:rFonts w:hint="cs"/>
          <w:rtl/>
        </w:rPr>
        <w:t>-</w:t>
      </w:r>
      <w:r w:rsidRPr="00145D7D">
        <w:rPr>
          <w:rFonts w:hint="eastAsia"/>
          <w:rtl/>
        </w:rPr>
        <w:t>יסוד</w:t>
      </w:r>
      <w:r w:rsidRPr="00145D7D">
        <w:rPr>
          <w:rtl/>
        </w:rPr>
        <w:t xml:space="preserve">: </w:t>
      </w:r>
      <w:r w:rsidRPr="00145D7D">
        <w:rPr>
          <w:rFonts w:hint="eastAsia"/>
          <w:rtl/>
        </w:rPr>
        <w:t>כבוד</w:t>
      </w:r>
      <w:r w:rsidRPr="00145D7D">
        <w:rPr>
          <w:rtl/>
        </w:rPr>
        <w:t xml:space="preserve"> </w:t>
      </w:r>
      <w:r w:rsidRPr="00145D7D">
        <w:rPr>
          <w:rFonts w:hint="eastAsia"/>
          <w:rtl/>
        </w:rPr>
        <w:t>האדם</w:t>
      </w:r>
      <w:r w:rsidRPr="00145D7D">
        <w:rPr>
          <w:rtl/>
        </w:rPr>
        <w:t xml:space="preserve"> </w:t>
      </w:r>
      <w:r w:rsidRPr="00145D7D">
        <w:rPr>
          <w:rFonts w:hint="eastAsia"/>
          <w:rtl/>
        </w:rPr>
        <w:t>וחירותו</w:t>
      </w:r>
      <w:r w:rsidRPr="00145D7D">
        <w:rPr>
          <w:rtl/>
        </w:rPr>
        <w:t xml:space="preserve"> </w:t>
      </w:r>
      <w:r w:rsidRPr="00145D7D">
        <w:rPr>
          <w:rFonts w:hint="eastAsia"/>
          <w:rtl/>
        </w:rPr>
        <w:t>והזכויות</w:t>
      </w:r>
      <w:r w:rsidRPr="00145D7D">
        <w:rPr>
          <w:rtl/>
        </w:rPr>
        <w:t xml:space="preserve"> </w:t>
      </w:r>
      <w:r w:rsidRPr="00145D7D">
        <w:rPr>
          <w:rFonts w:hint="eastAsia"/>
          <w:rtl/>
        </w:rPr>
        <w:t>הנגזרות</w:t>
      </w:r>
      <w:r w:rsidRPr="00145D7D">
        <w:rPr>
          <w:rtl/>
        </w:rPr>
        <w:t xml:space="preserve"> </w:t>
      </w:r>
      <w:r w:rsidRPr="00145D7D">
        <w:rPr>
          <w:rFonts w:hint="eastAsia"/>
          <w:rtl/>
        </w:rPr>
        <w:t>ממנו</w:t>
      </w:r>
      <w:r w:rsidRPr="00145D7D">
        <w:rPr>
          <w:rtl/>
        </w:rPr>
        <w:t xml:space="preserve"> </w:t>
      </w:r>
      <w:r>
        <w:rPr>
          <w:rFonts w:hint="cs"/>
          <w:rtl/>
        </w:rPr>
        <w:t>(בג</w:t>
      </w:r>
      <w:r w:rsidRPr="00145D7D">
        <w:rPr>
          <w:rtl/>
        </w:rPr>
        <w:t>"</w:t>
      </w:r>
      <w:r w:rsidRPr="00145D7D">
        <w:rPr>
          <w:rFonts w:hint="eastAsia"/>
          <w:rtl/>
        </w:rPr>
        <w:t>ץ</w:t>
      </w:r>
      <w:r w:rsidRPr="00145D7D">
        <w:rPr>
          <w:rtl/>
        </w:rPr>
        <w:t xml:space="preserve"> 6824/07 </w:t>
      </w:r>
      <w:proofErr w:type="spellStart"/>
      <w:r w:rsidRPr="00145D7D">
        <w:rPr>
          <w:rFonts w:ascii="Century" w:hAnsi="Century" w:cs="Miriam" w:hint="eastAsia"/>
          <w:b/>
          <w:spacing w:val="0"/>
          <w:sz w:val="22"/>
          <w:szCs w:val="24"/>
          <w:rtl/>
        </w:rPr>
        <w:t>מנאע</w:t>
      </w:r>
      <w:proofErr w:type="spellEnd"/>
      <w:r w:rsidRPr="00145D7D">
        <w:rPr>
          <w:rFonts w:ascii="Century" w:hAnsi="Century" w:cs="Miriam"/>
          <w:b/>
          <w:spacing w:val="0"/>
          <w:sz w:val="22"/>
          <w:szCs w:val="24"/>
          <w:rtl/>
        </w:rPr>
        <w:t xml:space="preserve"> </w:t>
      </w:r>
      <w:r w:rsidRPr="00145D7D">
        <w:rPr>
          <w:rFonts w:ascii="Century" w:hAnsi="Century" w:cs="Miriam" w:hint="eastAsia"/>
          <w:b/>
          <w:spacing w:val="0"/>
          <w:sz w:val="22"/>
          <w:szCs w:val="24"/>
          <w:rtl/>
        </w:rPr>
        <w:t>נ</w:t>
      </w:r>
      <w:r w:rsidRPr="00145D7D">
        <w:rPr>
          <w:rFonts w:ascii="Century" w:hAnsi="Century" w:cs="Miriam"/>
          <w:b/>
          <w:spacing w:val="0"/>
          <w:sz w:val="22"/>
          <w:szCs w:val="24"/>
          <w:rtl/>
        </w:rPr>
        <w:t xml:space="preserve">' </w:t>
      </w:r>
      <w:r w:rsidRPr="00145D7D">
        <w:rPr>
          <w:rFonts w:ascii="Century" w:hAnsi="Century" w:cs="Miriam" w:hint="eastAsia"/>
          <w:b/>
          <w:spacing w:val="0"/>
          <w:sz w:val="22"/>
          <w:szCs w:val="24"/>
          <w:rtl/>
        </w:rPr>
        <w:t>רשות</w:t>
      </w:r>
      <w:r w:rsidRPr="00145D7D">
        <w:rPr>
          <w:rFonts w:ascii="Century" w:hAnsi="Century" w:cs="Miriam"/>
          <w:b/>
          <w:spacing w:val="0"/>
          <w:sz w:val="22"/>
          <w:szCs w:val="24"/>
          <w:rtl/>
        </w:rPr>
        <w:t xml:space="preserve"> </w:t>
      </w:r>
      <w:r w:rsidRPr="00145D7D">
        <w:rPr>
          <w:rFonts w:ascii="Century" w:hAnsi="Century" w:cs="Miriam" w:hint="eastAsia"/>
          <w:b/>
          <w:spacing w:val="0"/>
          <w:sz w:val="22"/>
          <w:szCs w:val="24"/>
          <w:rtl/>
        </w:rPr>
        <w:t>המיסים</w:t>
      </w:r>
      <w:r w:rsidRPr="00145D7D">
        <w:rPr>
          <w:rtl/>
        </w:rPr>
        <w:t xml:space="preserve">, </w:t>
      </w:r>
      <w:r w:rsidRPr="00145D7D">
        <w:rPr>
          <w:rFonts w:hint="eastAsia"/>
          <w:rtl/>
        </w:rPr>
        <w:t>פ</w:t>
      </w:r>
      <w:r w:rsidRPr="00145D7D">
        <w:rPr>
          <w:rtl/>
        </w:rPr>
        <w:t>"</w:t>
      </w:r>
      <w:r w:rsidRPr="00145D7D">
        <w:rPr>
          <w:rFonts w:hint="eastAsia"/>
          <w:rtl/>
        </w:rPr>
        <w:t>ד</w:t>
      </w:r>
      <w:r w:rsidRPr="00145D7D">
        <w:rPr>
          <w:rtl/>
        </w:rPr>
        <w:t xml:space="preserve"> </w:t>
      </w:r>
      <w:r w:rsidRPr="00145D7D">
        <w:rPr>
          <w:rFonts w:hint="eastAsia"/>
          <w:rtl/>
        </w:rPr>
        <w:t>סד</w:t>
      </w:r>
      <w:r w:rsidRPr="00145D7D">
        <w:rPr>
          <w:rtl/>
        </w:rPr>
        <w:t>(2) 479, 511 (2010)</w:t>
      </w:r>
      <w:r>
        <w:rPr>
          <w:rFonts w:hint="cs"/>
          <w:rtl/>
        </w:rPr>
        <w:t xml:space="preserve">; </w:t>
      </w:r>
      <w:proofErr w:type="spellStart"/>
      <w:r w:rsidRPr="00145D7D">
        <w:rPr>
          <w:rFonts w:hint="eastAsia"/>
          <w:rtl/>
        </w:rPr>
        <w:t>דנ</w:t>
      </w:r>
      <w:r w:rsidRPr="00145D7D">
        <w:rPr>
          <w:rtl/>
        </w:rPr>
        <w:t>"</w:t>
      </w:r>
      <w:r w:rsidRPr="00145D7D">
        <w:rPr>
          <w:rFonts w:hint="eastAsia"/>
          <w:rtl/>
        </w:rPr>
        <w:t>פ</w:t>
      </w:r>
      <w:proofErr w:type="spellEnd"/>
      <w:r w:rsidRPr="00145D7D">
        <w:rPr>
          <w:rtl/>
        </w:rPr>
        <w:t xml:space="preserve"> 2316/95 </w:t>
      </w:r>
      <w:proofErr w:type="spellStart"/>
      <w:r w:rsidRPr="00145D7D">
        <w:rPr>
          <w:rFonts w:ascii="Century" w:hAnsi="Century" w:cs="Miriam" w:hint="eastAsia"/>
          <w:b/>
          <w:spacing w:val="0"/>
          <w:sz w:val="22"/>
          <w:szCs w:val="24"/>
          <w:rtl/>
        </w:rPr>
        <w:t>גנימאת</w:t>
      </w:r>
      <w:proofErr w:type="spellEnd"/>
      <w:r w:rsidRPr="00145D7D">
        <w:rPr>
          <w:rFonts w:ascii="Century" w:hAnsi="Century" w:cs="Miriam"/>
          <w:b/>
          <w:spacing w:val="0"/>
          <w:sz w:val="22"/>
          <w:szCs w:val="24"/>
          <w:rtl/>
        </w:rPr>
        <w:t xml:space="preserve"> </w:t>
      </w:r>
      <w:r w:rsidRPr="00145D7D">
        <w:rPr>
          <w:rFonts w:ascii="Century" w:hAnsi="Century" w:cs="Miriam" w:hint="eastAsia"/>
          <w:b/>
          <w:spacing w:val="0"/>
          <w:sz w:val="22"/>
          <w:szCs w:val="24"/>
          <w:rtl/>
        </w:rPr>
        <w:t>נ</w:t>
      </w:r>
      <w:r w:rsidRPr="00145D7D">
        <w:rPr>
          <w:rFonts w:ascii="Century" w:hAnsi="Century" w:cs="Miriam"/>
          <w:b/>
          <w:spacing w:val="0"/>
          <w:sz w:val="22"/>
          <w:szCs w:val="24"/>
          <w:rtl/>
        </w:rPr>
        <w:t xml:space="preserve">' </w:t>
      </w:r>
      <w:r w:rsidRPr="00145D7D">
        <w:rPr>
          <w:rFonts w:ascii="Century" w:hAnsi="Century" w:cs="Miriam" w:hint="eastAsia"/>
          <w:b/>
          <w:spacing w:val="0"/>
          <w:sz w:val="22"/>
          <w:szCs w:val="24"/>
          <w:rtl/>
        </w:rPr>
        <w:t>מדינת</w:t>
      </w:r>
      <w:r w:rsidRPr="00145D7D">
        <w:rPr>
          <w:rFonts w:ascii="Century" w:hAnsi="Century" w:cs="Miriam"/>
          <w:b/>
          <w:spacing w:val="0"/>
          <w:sz w:val="22"/>
          <w:szCs w:val="24"/>
          <w:rtl/>
        </w:rPr>
        <w:t xml:space="preserve"> </w:t>
      </w:r>
      <w:r w:rsidRPr="00145D7D">
        <w:rPr>
          <w:rFonts w:ascii="Century" w:hAnsi="Century" w:cs="Miriam" w:hint="eastAsia"/>
          <w:b/>
          <w:spacing w:val="0"/>
          <w:sz w:val="22"/>
          <w:szCs w:val="24"/>
          <w:rtl/>
        </w:rPr>
        <w:t>ישראל</w:t>
      </w:r>
      <w:r w:rsidRPr="00145D7D">
        <w:rPr>
          <w:rFonts w:ascii="Century" w:hAnsi="Century" w:cs="Miriam"/>
          <w:b/>
          <w:spacing w:val="0"/>
          <w:sz w:val="22"/>
          <w:szCs w:val="24"/>
          <w:rtl/>
        </w:rPr>
        <w:t xml:space="preserve">, </w:t>
      </w:r>
      <w:r w:rsidRPr="00145D7D">
        <w:rPr>
          <w:rFonts w:ascii="Century" w:hAnsi="Century" w:cs="Miriam" w:hint="eastAsia"/>
          <w:b/>
          <w:spacing w:val="0"/>
          <w:sz w:val="22"/>
          <w:szCs w:val="24"/>
          <w:rtl/>
        </w:rPr>
        <w:t>פ</w:t>
      </w:r>
      <w:r w:rsidRPr="00145D7D">
        <w:rPr>
          <w:rFonts w:ascii="Century" w:hAnsi="Century" w:cs="Miriam"/>
          <w:b/>
          <w:spacing w:val="0"/>
          <w:sz w:val="22"/>
          <w:szCs w:val="24"/>
          <w:rtl/>
        </w:rPr>
        <w:t>"</w:t>
      </w:r>
      <w:r w:rsidRPr="00145D7D">
        <w:rPr>
          <w:rFonts w:ascii="Century" w:hAnsi="Century" w:cs="Miriam" w:hint="eastAsia"/>
          <w:b/>
          <w:spacing w:val="0"/>
          <w:sz w:val="22"/>
          <w:szCs w:val="24"/>
          <w:rtl/>
        </w:rPr>
        <w:t>ד</w:t>
      </w:r>
      <w:r w:rsidRPr="00145D7D">
        <w:rPr>
          <w:rFonts w:ascii="Century" w:hAnsi="Century" w:cs="Miriam"/>
          <w:b/>
          <w:spacing w:val="0"/>
          <w:sz w:val="22"/>
          <w:szCs w:val="24"/>
          <w:rtl/>
        </w:rPr>
        <w:t xml:space="preserve"> </w:t>
      </w:r>
      <w:r w:rsidRPr="00145D7D">
        <w:rPr>
          <w:rFonts w:ascii="Century" w:hAnsi="Century" w:cs="Miriam" w:hint="eastAsia"/>
          <w:b/>
          <w:spacing w:val="0"/>
          <w:sz w:val="22"/>
          <w:szCs w:val="24"/>
          <w:rtl/>
        </w:rPr>
        <w:t>מט</w:t>
      </w:r>
      <w:r w:rsidRPr="00145D7D">
        <w:rPr>
          <w:rtl/>
        </w:rPr>
        <w:t>(4) 589, 649-648 (1995)</w:t>
      </w:r>
      <w:r>
        <w:rPr>
          <w:rFonts w:hint="cs"/>
          <w:rtl/>
        </w:rPr>
        <w:t xml:space="preserve">). </w:t>
      </w:r>
    </w:p>
    <w:p w:rsidR="0046011D" w:rsidRDefault="0046011D" w:rsidP="0046011D">
      <w:pPr>
        <w:pStyle w:val="Ruller41"/>
        <w:rPr>
          <w:rtl/>
        </w:rPr>
      </w:pPr>
    </w:p>
    <w:p w:rsidR="0046011D" w:rsidRDefault="0046011D" w:rsidP="0046011D">
      <w:pPr>
        <w:pStyle w:val="Ruller4"/>
        <w:rPr>
          <w:rtl/>
        </w:rPr>
      </w:pPr>
      <w:r>
        <w:rPr>
          <w:rFonts w:hint="cs"/>
          <w:rtl/>
        </w:rPr>
        <w:t xml:space="preserve">כידוע, </w:t>
      </w:r>
      <w:r w:rsidRPr="002049B2">
        <w:rPr>
          <w:rFonts w:hint="eastAsia"/>
          <w:rtl/>
        </w:rPr>
        <w:t>מקום</w:t>
      </w:r>
      <w:r w:rsidRPr="002049B2">
        <w:rPr>
          <w:rtl/>
        </w:rPr>
        <w:t xml:space="preserve"> </w:t>
      </w:r>
      <w:r w:rsidRPr="002049B2">
        <w:rPr>
          <w:rFonts w:hint="eastAsia"/>
          <w:rtl/>
        </w:rPr>
        <w:t>בו</w:t>
      </w:r>
      <w:r w:rsidRPr="002049B2">
        <w:rPr>
          <w:rtl/>
        </w:rPr>
        <w:t xml:space="preserve"> </w:t>
      </w:r>
      <w:r>
        <w:rPr>
          <w:rFonts w:hint="eastAsia"/>
          <w:rtl/>
        </w:rPr>
        <w:t>נטע</w:t>
      </w:r>
      <w:r>
        <w:rPr>
          <w:rFonts w:hint="cs"/>
          <w:rtl/>
        </w:rPr>
        <w:t>ן לפגיעה בזכות החוקתית</w:t>
      </w:r>
      <w:r w:rsidRPr="002049B2">
        <w:rPr>
          <w:rtl/>
        </w:rPr>
        <w:t xml:space="preserve"> </w:t>
      </w:r>
      <w:r w:rsidRPr="002049B2">
        <w:rPr>
          <w:rFonts w:hint="eastAsia"/>
          <w:rtl/>
        </w:rPr>
        <w:t>לשוויון</w:t>
      </w:r>
      <w:r w:rsidRPr="002049B2">
        <w:rPr>
          <w:rtl/>
        </w:rPr>
        <w:t xml:space="preserve">, </w:t>
      </w:r>
      <w:r>
        <w:rPr>
          <w:rFonts w:hint="cs"/>
          <w:rtl/>
        </w:rPr>
        <w:t xml:space="preserve">יש לערוך </w:t>
      </w:r>
      <w:r w:rsidRPr="002049B2">
        <w:rPr>
          <w:rFonts w:hint="eastAsia"/>
          <w:rtl/>
        </w:rPr>
        <w:t>בחינה</w:t>
      </w:r>
      <w:r w:rsidRPr="002049B2">
        <w:rPr>
          <w:rtl/>
        </w:rPr>
        <w:t xml:space="preserve"> </w:t>
      </w:r>
      <w:r w:rsidRPr="002049B2">
        <w:rPr>
          <w:rFonts w:hint="eastAsia"/>
          <w:rtl/>
        </w:rPr>
        <w:t>דו</w:t>
      </w:r>
      <w:r>
        <w:rPr>
          <w:rFonts w:hint="cs"/>
          <w:rtl/>
        </w:rPr>
        <w:t>-</w:t>
      </w:r>
      <w:r w:rsidRPr="002049B2">
        <w:rPr>
          <w:rFonts w:hint="eastAsia"/>
          <w:rtl/>
        </w:rPr>
        <w:t>שלבית</w:t>
      </w:r>
      <w:r>
        <w:rPr>
          <w:rFonts w:hint="cs"/>
          <w:rtl/>
        </w:rPr>
        <w:t>. בשלב ראשון,</w:t>
      </w:r>
      <w:r w:rsidRPr="002049B2">
        <w:rPr>
          <w:rtl/>
        </w:rPr>
        <w:t xml:space="preserve"> </w:t>
      </w:r>
      <w:r w:rsidRPr="002049B2">
        <w:rPr>
          <w:rFonts w:hint="eastAsia"/>
          <w:rtl/>
        </w:rPr>
        <w:t>יש</w:t>
      </w:r>
      <w:r w:rsidRPr="002049B2">
        <w:rPr>
          <w:rtl/>
        </w:rPr>
        <w:t xml:space="preserve"> </w:t>
      </w:r>
      <w:r w:rsidRPr="002049B2">
        <w:rPr>
          <w:rFonts w:hint="eastAsia"/>
          <w:rtl/>
        </w:rPr>
        <w:t>לבחון</w:t>
      </w:r>
      <w:r w:rsidRPr="002049B2">
        <w:rPr>
          <w:rtl/>
        </w:rPr>
        <w:t xml:space="preserve"> </w:t>
      </w:r>
      <w:r w:rsidRPr="002049B2">
        <w:rPr>
          <w:rFonts w:hint="eastAsia"/>
          <w:rtl/>
        </w:rPr>
        <w:t>אם</w:t>
      </w:r>
      <w:r w:rsidRPr="002049B2">
        <w:rPr>
          <w:rtl/>
        </w:rPr>
        <w:t xml:space="preserve"> </w:t>
      </w:r>
      <w:r>
        <w:rPr>
          <w:rFonts w:hint="cs"/>
          <w:rtl/>
        </w:rPr>
        <w:t>ה</w:t>
      </w:r>
      <w:r w:rsidRPr="002049B2">
        <w:rPr>
          <w:rFonts w:hint="eastAsia"/>
          <w:rtl/>
        </w:rPr>
        <w:t>הבחנה</w:t>
      </w:r>
      <w:r w:rsidRPr="002049B2">
        <w:rPr>
          <w:rtl/>
        </w:rPr>
        <w:t xml:space="preserve"> </w:t>
      </w:r>
      <w:r>
        <w:rPr>
          <w:rFonts w:hint="cs"/>
          <w:rtl/>
        </w:rPr>
        <w:t xml:space="preserve">שבמוקד ההסדר </w:t>
      </w:r>
      <w:r w:rsidRPr="002049B2">
        <w:rPr>
          <w:rFonts w:hint="eastAsia"/>
          <w:rtl/>
        </w:rPr>
        <w:t>אינה</w:t>
      </w:r>
      <w:r w:rsidRPr="002049B2">
        <w:rPr>
          <w:rtl/>
        </w:rPr>
        <w:t xml:space="preserve"> </w:t>
      </w:r>
      <w:r w:rsidRPr="002049B2">
        <w:rPr>
          <w:rFonts w:hint="eastAsia"/>
          <w:rtl/>
        </w:rPr>
        <w:t>מבוססת</w:t>
      </w:r>
      <w:r w:rsidRPr="002049B2">
        <w:rPr>
          <w:rtl/>
        </w:rPr>
        <w:t xml:space="preserve"> </w:t>
      </w:r>
      <w:r w:rsidRPr="002049B2">
        <w:rPr>
          <w:rFonts w:hint="eastAsia"/>
          <w:rtl/>
        </w:rPr>
        <w:t>על</w:t>
      </w:r>
      <w:r w:rsidRPr="002049B2">
        <w:rPr>
          <w:rtl/>
        </w:rPr>
        <w:t xml:space="preserve"> </w:t>
      </w:r>
      <w:r w:rsidRPr="002049B2">
        <w:rPr>
          <w:rFonts w:hint="eastAsia"/>
          <w:rtl/>
        </w:rPr>
        <w:t>שוני</w:t>
      </w:r>
      <w:r w:rsidRPr="002049B2">
        <w:rPr>
          <w:rtl/>
        </w:rPr>
        <w:t xml:space="preserve"> </w:t>
      </w:r>
      <w:r>
        <w:rPr>
          <w:rFonts w:hint="eastAsia"/>
          <w:rtl/>
        </w:rPr>
        <w:t>רלוונט</w:t>
      </w:r>
      <w:r>
        <w:rPr>
          <w:rFonts w:hint="cs"/>
          <w:rtl/>
        </w:rPr>
        <w:t>י</w:t>
      </w:r>
      <w:r w:rsidRPr="002049B2">
        <w:rPr>
          <w:rtl/>
        </w:rPr>
        <w:t xml:space="preserve">. </w:t>
      </w:r>
      <w:r>
        <w:rPr>
          <w:rFonts w:hint="cs"/>
          <w:rtl/>
        </w:rPr>
        <w:t>ככל שלא קיים שוני רלוונטי</w:t>
      </w:r>
      <w:r w:rsidRPr="002049B2">
        <w:rPr>
          <w:rtl/>
        </w:rPr>
        <w:t xml:space="preserve">, </w:t>
      </w:r>
      <w:r w:rsidRPr="002049B2">
        <w:rPr>
          <w:rFonts w:hint="eastAsia"/>
          <w:rtl/>
        </w:rPr>
        <w:t>החוק</w:t>
      </w:r>
      <w:r w:rsidRPr="002049B2">
        <w:rPr>
          <w:rtl/>
        </w:rPr>
        <w:t xml:space="preserve"> </w:t>
      </w:r>
      <w:r w:rsidRPr="002049B2">
        <w:rPr>
          <w:rFonts w:hint="eastAsia"/>
          <w:rtl/>
        </w:rPr>
        <w:t>מפלה</w:t>
      </w:r>
      <w:r w:rsidRPr="002049B2">
        <w:rPr>
          <w:rtl/>
        </w:rPr>
        <w:t xml:space="preserve">, </w:t>
      </w:r>
      <w:r w:rsidRPr="002049B2">
        <w:rPr>
          <w:rFonts w:hint="eastAsia"/>
          <w:rtl/>
        </w:rPr>
        <w:t>ויש</w:t>
      </w:r>
      <w:r>
        <w:rPr>
          <w:rFonts w:hint="cs"/>
          <w:rtl/>
        </w:rPr>
        <w:t xml:space="preserve"> לעבור לשלב השני, במסגרתו נבחן</w:t>
      </w:r>
      <w:r w:rsidRPr="002049B2">
        <w:rPr>
          <w:rtl/>
        </w:rPr>
        <w:t xml:space="preserve"> </w:t>
      </w:r>
      <w:r w:rsidRPr="002049B2">
        <w:rPr>
          <w:rFonts w:hint="eastAsia"/>
          <w:rtl/>
        </w:rPr>
        <w:t>אם</w:t>
      </w:r>
      <w:r w:rsidRPr="002049B2">
        <w:rPr>
          <w:rtl/>
        </w:rPr>
        <w:t xml:space="preserve"> </w:t>
      </w:r>
      <w:r w:rsidRPr="002049B2">
        <w:rPr>
          <w:rFonts w:hint="eastAsia"/>
          <w:rtl/>
        </w:rPr>
        <w:t>ההפליה</w:t>
      </w:r>
      <w:r w:rsidRPr="002049B2">
        <w:rPr>
          <w:rtl/>
        </w:rPr>
        <w:t xml:space="preserve"> </w:t>
      </w:r>
      <w:r w:rsidRPr="002049B2">
        <w:rPr>
          <w:rFonts w:hint="eastAsia"/>
          <w:rtl/>
        </w:rPr>
        <w:t>קשורה</w:t>
      </w:r>
      <w:r w:rsidRPr="002049B2">
        <w:rPr>
          <w:rtl/>
        </w:rPr>
        <w:t xml:space="preserve"> </w:t>
      </w:r>
      <w:r w:rsidRPr="002049B2">
        <w:rPr>
          <w:rFonts w:hint="eastAsia"/>
          <w:rtl/>
        </w:rPr>
        <w:t>בקשר</w:t>
      </w:r>
      <w:r w:rsidRPr="002049B2">
        <w:rPr>
          <w:rtl/>
        </w:rPr>
        <w:t xml:space="preserve"> "</w:t>
      </w:r>
      <w:r w:rsidRPr="002049B2">
        <w:rPr>
          <w:rFonts w:hint="eastAsia"/>
          <w:rtl/>
        </w:rPr>
        <w:t>ענייני</w:t>
      </w:r>
      <w:r w:rsidRPr="002049B2">
        <w:rPr>
          <w:rtl/>
        </w:rPr>
        <w:t xml:space="preserve"> </w:t>
      </w:r>
      <w:r w:rsidRPr="002049B2">
        <w:rPr>
          <w:rFonts w:hint="eastAsia"/>
          <w:rtl/>
        </w:rPr>
        <w:t>הדוק</w:t>
      </w:r>
      <w:r w:rsidRPr="002049B2">
        <w:rPr>
          <w:rtl/>
        </w:rPr>
        <w:t xml:space="preserve">" </w:t>
      </w:r>
      <w:r w:rsidRPr="002049B2">
        <w:rPr>
          <w:rFonts w:hint="eastAsia"/>
          <w:rtl/>
        </w:rPr>
        <w:t>לכבוד</w:t>
      </w:r>
      <w:r w:rsidRPr="002049B2">
        <w:rPr>
          <w:rtl/>
        </w:rPr>
        <w:t xml:space="preserve"> </w:t>
      </w:r>
      <w:r w:rsidRPr="002049B2">
        <w:rPr>
          <w:rFonts w:hint="eastAsia"/>
          <w:rtl/>
        </w:rPr>
        <w:t>האדם</w:t>
      </w:r>
      <w:r w:rsidR="007D1019">
        <w:rPr>
          <w:rFonts w:hint="cs"/>
          <w:rtl/>
        </w:rPr>
        <w:t xml:space="preserve"> (</w:t>
      </w:r>
      <w:r>
        <w:rPr>
          <w:rFonts w:hint="cs"/>
          <w:rtl/>
        </w:rPr>
        <w:t xml:space="preserve">עניין </w:t>
      </w:r>
      <w:r w:rsidRPr="004B6F5B">
        <w:rPr>
          <w:rFonts w:ascii="Century" w:hAnsi="Century" w:cs="Miriam" w:hint="cs"/>
          <w:b/>
          <w:spacing w:val="0"/>
          <w:sz w:val="22"/>
          <w:szCs w:val="24"/>
          <w:rtl/>
        </w:rPr>
        <w:t>ארד-פנקס</w:t>
      </w:r>
      <w:r>
        <w:rPr>
          <w:rFonts w:hint="cs"/>
          <w:rtl/>
        </w:rPr>
        <w:t xml:space="preserve">, פסקה 3 לפסק דיני; </w:t>
      </w:r>
      <w:r w:rsidRPr="002049B2">
        <w:rPr>
          <w:rFonts w:hint="eastAsia"/>
          <w:rtl/>
        </w:rPr>
        <w:t>בג</w:t>
      </w:r>
      <w:r w:rsidRPr="002049B2">
        <w:rPr>
          <w:rtl/>
        </w:rPr>
        <w:t>"</w:t>
      </w:r>
      <w:r w:rsidRPr="002049B2">
        <w:rPr>
          <w:rFonts w:hint="eastAsia"/>
          <w:rtl/>
        </w:rPr>
        <w:t>ץ</w:t>
      </w:r>
      <w:r w:rsidRPr="002049B2">
        <w:rPr>
          <w:rtl/>
        </w:rPr>
        <w:t xml:space="preserve"> 6427/02 </w:t>
      </w:r>
      <w:r w:rsidRPr="004B6F5B">
        <w:rPr>
          <w:rFonts w:ascii="Century" w:hAnsi="Century" w:cs="Miriam" w:hint="eastAsia"/>
          <w:b/>
          <w:spacing w:val="0"/>
          <w:sz w:val="22"/>
          <w:szCs w:val="24"/>
          <w:rtl/>
        </w:rPr>
        <w:t>התנועה</w:t>
      </w:r>
      <w:r w:rsidRPr="004B6F5B">
        <w:rPr>
          <w:rFonts w:ascii="Century" w:hAnsi="Century" w:cs="Miriam"/>
          <w:b/>
          <w:spacing w:val="0"/>
          <w:sz w:val="22"/>
          <w:szCs w:val="24"/>
          <w:rtl/>
        </w:rPr>
        <w:t xml:space="preserve"> </w:t>
      </w:r>
      <w:r w:rsidRPr="004B6F5B">
        <w:rPr>
          <w:rFonts w:ascii="Century" w:hAnsi="Century" w:cs="Miriam" w:hint="eastAsia"/>
          <w:b/>
          <w:spacing w:val="0"/>
          <w:sz w:val="22"/>
          <w:szCs w:val="24"/>
          <w:rtl/>
        </w:rPr>
        <w:t>למען</w:t>
      </w:r>
      <w:r w:rsidRPr="004B6F5B">
        <w:rPr>
          <w:rFonts w:ascii="Century" w:hAnsi="Century" w:cs="Miriam"/>
          <w:b/>
          <w:spacing w:val="0"/>
          <w:sz w:val="22"/>
          <w:szCs w:val="24"/>
          <w:rtl/>
        </w:rPr>
        <w:t xml:space="preserve"> </w:t>
      </w:r>
      <w:r w:rsidRPr="004B6F5B">
        <w:rPr>
          <w:rFonts w:ascii="Century" w:hAnsi="Century" w:cs="Miriam" w:hint="eastAsia"/>
          <w:b/>
          <w:spacing w:val="0"/>
          <w:sz w:val="22"/>
          <w:szCs w:val="24"/>
          <w:rtl/>
        </w:rPr>
        <w:t>איכות</w:t>
      </w:r>
      <w:r w:rsidRPr="004B6F5B">
        <w:rPr>
          <w:rFonts w:ascii="Century" w:hAnsi="Century" w:cs="Miriam"/>
          <w:b/>
          <w:spacing w:val="0"/>
          <w:sz w:val="22"/>
          <w:szCs w:val="24"/>
          <w:rtl/>
        </w:rPr>
        <w:t xml:space="preserve"> </w:t>
      </w:r>
      <w:r w:rsidRPr="004B6F5B">
        <w:rPr>
          <w:rFonts w:ascii="Century" w:hAnsi="Century" w:cs="Miriam" w:hint="eastAsia"/>
          <w:b/>
          <w:spacing w:val="0"/>
          <w:sz w:val="22"/>
          <w:szCs w:val="24"/>
          <w:rtl/>
        </w:rPr>
        <w:t>השלטון</w:t>
      </w:r>
      <w:r w:rsidRPr="004B6F5B">
        <w:rPr>
          <w:rFonts w:ascii="Century" w:hAnsi="Century" w:cs="Miriam"/>
          <w:b/>
          <w:spacing w:val="0"/>
          <w:sz w:val="22"/>
          <w:szCs w:val="24"/>
          <w:rtl/>
        </w:rPr>
        <w:t xml:space="preserve"> </w:t>
      </w:r>
      <w:r w:rsidRPr="004B6F5B">
        <w:rPr>
          <w:rFonts w:ascii="Century" w:hAnsi="Century" w:cs="Miriam" w:hint="eastAsia"/>
          <w:b/>
          <w:spacing w:val="0"/>
          <w:sz w:val="22"/>
          <w:szCs w:val="24"/>
          <w:rtl/>
        </w:rPr>
        <w:t>בישראל</w:t>
      </w:r>
      <w:r w:rsidRPr="004B6F5B">
        <w:rPr>
          <w:rFonts w:ascii="Century" w:hAnsi="Century" w:cs="Miriam"/>
          <w:b/>
          <w:spacing w:val="0"/>
          <w:sz w:val="22"/>
          <w:szCs w:val="24"/>
          <w:rtl/>
        </w:rPr>
        <w:t xml:space="preserve"> </w:t>
      </w:r>
      <w:r w:rsidRPr="004B6F5B">
        <w:rPr>
          <w:rFonts w:ascii="Century" w:hAnsi="Century" w:cs="Miriam" w:hint="eastAsia"/>
          <w:b/>
          <w:spacing w:val="0"/>
          <w:sz w:val="22"/>
          <w:szCs w:val="24"/>
          <w:rtl/>
        </w:rPr>
        <w:t>נ</w:t>
      </w:r>
      <w:r w:rsidRPr="004B6F5B">
        <w:rPr>
          <w:rFonts w:ascii="Century" w:hAnsi="Century" w:cs="Miriam"/>
          <w:b/>
          <w:spacing w:val="0"/>
          <w:sz w:val="22"/>
          <w:szCs w:val="24"/>
          <w:rtl/>
        </w:rPr>
        <w:t xml:space="preserve">' </w:t>
      </w:r>
      <w:r w:rsidRPr="004B6F5B">
        <w:rPr>
          <w:rFonts w:ascii="Century" w:hAnsi="Century" w:cs="Miriam" w:hint="eastAsia"/>
          <w:b/>
          <w:spacing w:val="0"/>
          <w:sz w:val="22"/>
          <w:szCs w:val="24"/>
          <w:rtl/>
        </w:rPr>
        <w:t>הכנסת</w:t>
      </w:r>
      <w:r w:rsidRPr="002049B2">
        <w:rPr>
          <w:rtl/>
        </w:rPr>
        <w:t xml:space="preserve">, </w:t>
      </w:r>
      <w:r w:rsidRPr="002049B2">
        <w:rPr>
          <w:rFonts w:hint="eastAsia"/>
          <w:rtl/>
        </w:rPr>
        <w:t>פ</w:t>
      </w:r>
      <w:r w:rsidRPr="002049B2">
        <w:rPr>
          <w:rtl/>
        </w:rPr>
        <w:t>"</w:t>
      </w:r>
      <w:r w:rsidRPr="002049B2">
        <w:rPr>
          <w:rFonts w:hint="eastAsia"/>
          <w:rtl/>
        </w:rPr>
        <w:t>ד</w:t>
      </w:r>
      <w:r w:rsidRPr="002049B2">
        <w:rPr>
          <w:rtl/>
        </w:rPr>
        <w:t xml:space="preserve"> </w:t>
      </w:r>
      <w:proofErr w:type="spellStart"/>
      <w:r w:rsidRPr="002049B2">
        <w:rPr>
          <w:rFonts w:hint="eastAsia"/>
          <w:rtl/>
        </w:rPr>
        <w:t>סא</w:t>
      </w:r>
      <w:proofErr w:type="spellEnd"/>
      <w:r>
        <w:rPr>
          <w:rtl/>
        </w:rPr>
        <w:t xml:space="preserve">(1) </w:t>
      </w:r>
      <w:r>
        <w:rPr>
          <w:rtl/>
        </w:rPr>
        <w:lastRenderedPageBreak/>
        <w:t>619, 687-689 (2006)</w:t>
      </w:r>
      <w:r w:rsidRPr="002049B2">
        <w:rPr>
          <w:rtl/>
        </w:rPr>
        <w:t>)</w:t>
      </w:r>
      <w:r>
        <w:rPr>
          <w:rFonts w:hint="cs"/>
          <w:rtl/>
        </w:rPr>
        <w:t xml:space="preserve">). במקרה דנן, השאלה אם פרשנות המקנה עדיפות לבני זוג הטרוסקסואליים על פני זוגות מאותו מין פוגעת בשוויון נגזרת מהמטרה המרכזית של חוק האימוץ </w:t>
      </w:r>
      <w:r>
        <w:rPr>
          <w:rtl/>
        </w:rPr>
        <w:t>–</w:t>
      </w:r>
      <w:r>
        <w:rPr>
          <w:rFonts w:hint="cs"/>
          <w:rtl/>
        </w:rPr>
        <w:t xml:space="preserve"> היא קידום טובת הילד. ככל שקיים שוני קטגורי רלוונטי במישור של טובת הילד בין זוגות הטרוסקסואליים לבין זוגות מאותו המין, ברי כי ישנה הצדקה להבחנה בין הקבוצות ואין מדובר בהפליה. ואולם, כפי שפורט לעיל, העמדה המקצועית של השירות למען הילד והממצאים המחקריים העדכניים מלמדים כי אין בנטייתם המינית של ההורים כדי להשפיע על טובתו ועל רווחתו של הילד המאומץ. משכך, איני סבור שקיים טעם ענייני להבחנה בין זוגות הטרוסקסואליים</w:t>
      </w:r>
      <w:r w:rsidRPr="004B6F5B">
        <w:rPr>
          <w:rtl/>
        </w:rPr>
        <w:t xml:space="preserve"> </w:t>
      </w:r>
      <w:r>
        <w:rPr>
          <w:rFonts w:hint="cs"/>
          <w:rtl/>
        </w:rPr>
        <w:t xml:space="preserve">לבין זוגות מאותו מין בשאלת כשירותם לאמץ. </w:t>
      </w:r>
      <w:r w:rsidRPr="004B6F5B">
        <w:rPr>
          <w:rFonts w:hint="eastAsia"/>
          <w:rtl/>
        </w:rPr>
        <w:t>משמצאנו</w:t>
      </w:r>
      <w:r w:rsidRPr="004B6F5B">
        <w:rPr>
          <w:rtl/>
        </w:rPr>
        <w:t xml:space="preserve"> </w:t>
      </w:r>
      <w:r w:rsidRPr="004B6F5B">
        <w:rPr>
          <w:rFonts w:hint="eastAsia"/>
          <w:rtl/>
        </w:rPr>
        <w:t>כי</w:t>
      </w:r>
      <w:r w:rsidRPr="004B6F5B">
        <w:rPr>
          <w:rtl/>
        </w:rPr>
        <w:t xml:space="preserve"> </w:t>
      </w:r>
      <w:r>
        <w:rPr>
          <w:rFonts w:hint="cs"/>
          <w:rtl/>
        </w:rPr>
        <w:t>לא קיים</w:t>
      </w:r>
      <w:r w:rsidRPr="004B6F5B">
        <w:rPr>
          <w:rtl/>
        </w:rPr>
        <w:t xml:space="preserve"> </w:t>
      </w:r>
      <w:r w:rsidRPr="004B6F5B">
        <w:rPr>
          <w:rFonts w:hint="eastAsia"/>
          <w:rtl/>
        </w:rPr>
        <w:t>שוני</w:t>
      </w:r>
      <w:r w:rsidRPr="004B6F5B">
        <w:rPr>
          <w:rtl/>
        </w:rPr>
        <w:t xml:space="preserve"> </w:t>
      </w:r>
      <w:r w:rsidRPr="004B6F5B">
        <w:rPr>
          <w:rFonts w:hint="eastAsia"/>
          <w:rtl/>
        </w:rPr>
        <w:t>רלוונטי</w:t>
      </w:r>
      <w:r w:rsidRPr="004B6F5B">
        <w:rPr>
          <w:rtl/>
        </w:rPr>
        <w:t xml:space="preserve"> </w:t>
      </w:r>
      <w:r>
        <w:rPr>
          <w:rFonts w:hint="cs"/>
          <w:rtl/>
        </w:rPr>
        <w:t xml:space="preserve">אשר </w:t>
      </w:r>
      <w:r w:rsidRPr="004B6F5B">
        <w:rPr>
          <w:rFonts w:hint="eastAsia"/>
          <w:rtl/>
        </w:rPr>
        <w:t>מצדיק</w:t>
      </w:r>
      <w:r w:rsidRPr="004B6F5B">
        <w:rPr>
          <w:rtl/>
        </w:rPr>
        <w:t xml:space="preserve"> </w:t>
      </w:r>
      <w:r w:rsidRPr="004B6F5B">
        <w:rPr>
          <w:rFonts w:hint="eastAsia"/>
          <w:rtl/>
        </w:rPr>
        <w:t>את</w:t>
      </w:r>
      <w:r w:rsidRPr="004B6F5B">
        <w:rPr>
          <w:rtl/>
        </w:rPr>
        <w:t xml:space="preserve"> </w:t>
      </w:r>
      <w:r w:rsidRPr="004B6F5B">
        <w:rPr>
          <w:rFonts w:hint="eastAsia"/>
          <w:rtl/>
        </w:rPr>
        <w:t>ההבחנה</w:t>
      </w:r>
      <w:r w:rsidRPr="004B6F5B">
        <w:rPr>
          <w:rtl/>
        </w:rPr>
        <w:t xml:space="preserve">, </w:t>
      </w:r>
      <w:r w:rsidRPr="004B6F5B">
        <w:rPr>
          <w:rFonts w:hint="eastAsia"/>
          <w:rtl/>
        </w:rPr>
        <w:t>המסקנה</w:t>
      </w:r>
      <w:r w:rsidRPr="004B6F5B">
        <w:rPr>
          <w:rtl/>
        </w:rPr>
        <w:t xml:space="preserve"> </w:t>
      </w:r>
      <w:r w:rsidRPr="004B6F5B">
        <w:rPr>
          <w:rFonts w:hint="eastAsia"/>
          <w:rtl/>
        </w:rPr>
        <w:t>היא</w:t>
      </w:r>
      <w:r w:rsidRPr="004B6F5B">
        <w:rPr>
          <w:rtl/>
        </w:rPr>
        <w:t xml:space="preserve"> </w:t>
      </w:r>
      <w:r w:rsidRPr="004B6F5B">
        <w:rPr>
          <w:rFonts w:hint="eastAsia"/>
          <w:rtl/>
        </w:rPr>
        <w:t>כי</w:t>
      </w:r>
      <w:r w:rsidRPr="004B6F5B">
        <w:rPr>
          <w:rtl/>
        </w:rPr>
        <w:t xml:space="preserve"> </w:t>
      </w:r>
      <w:r>
        <w:rPr>
          <w:rFonts w:hint="cs"/>
          <w:rtl/>
        </w:rPr>
        <w:t>פרשנות המקנה עדיפות לזוגות הטרוסקסואליים על פני זוגות מאותו מין היא מפלה</w:t>
      </w:r>
      <w:r w:rsidRPr="004B6F5B">
        <w:rPr>
          <w:rtl/>
        </w:rPr>
        <w:t>.</w:t>
      </w:r>
      <w:r>
        <w:rPr>
          <w:rFonts w:hint="cs"/>
          <w:rtl/>
        </w:rPr>
        <w:t xml:space="preserve"> </w:t>
      </w:r>
    </w:p>
    <w:p w:rsidR="0046011D" w:rsidRDefault="0046011D" w:rsidP="0046011D">
      <w:pPr>
        <w:pStyle w:val="Ruller41"/>
        <w:rPr>
          <w:rtl/>
        </w:rPr>
      </w:pPr>
    </w:p>
    <w:p w:rsidR="0046011D" w:rsidRDefault="0046011D" w:rsidP="0046011D">
      <w:pPr>
        <w:pStyle w:val="Ruller4"/>
      </w:pPr>
      <w:r>
        <w:rPr>
          <w:rFonts w:hint="cs"/>
          <w:rtl/>
        </w:rPr>
        <w:t>בענייננו, ההפליה קשורה ב"קשר ענייני הדוק" בכבוד האדם, וזאת בשני מישורים. המישור הראשון קשור בזהותה של הקבוצה שסובלת מההסדר המפלה. זוגות מאותו מין הם קבוצה "חשודה" שסובלת מהפליה על רקע נטייתם המינית באופן מובהק ושיטתי לאורך ההיסטוריה,</w:t>
      </w:r>
      <w:r w:rsidRPr="006E2D4E">
        <w:rPr>
          <w:rFonts w:hint="eastAsia"/>
          <w:rtl/>
        </w:rPr>
        <w:t xml:space="preserve"> </w:t>
      </w:r>
      <w:r>
        <w:rPr>
          <w:rFonts w:hint="cs"/>
          <w:rtl/>
        </w:rPr>
        <w:t>ל</w:t>
      </w:r>
      <w:r w:rsidRPr="006E2D4E">
        <w:rPr>
          <w:rFonts w:hint="eastAsia"/>
          <w:rtl/>
        </w:rPr>
        <w:t>א</w:t>
      </w:r>
      <w:r w:rsidRPr="006E2D4E">
        <w:rPr>
          <w:rtl/>
        </w:rPr>
        <w:t xml:space="preserve"> </w:t>
      </w:r>
      <w:r>
        <w:rPr>
          <w:rFonts w:hint="cs"/>
          <w:rtl/>
        </w:rPr>
        <w:t>אחת באצטלה של</w:t>
      </w:r>
      <w:r w:rsidRPr="006E2D4E">
        <w:rPr>
          <w:rtl/>
        </w:rPr>
        <w:t xml:space="preserve"> </w:t>
      </w:r>
      <w:r w:rsidRPr="006E2D4E">
        <w:rPr>
          <w:rFonts w:hint="eastAsia"/>
          <w:rtl/>
        </w:rPr>
        <w:t>נימוקים</w:t>
      </w:r>
      <w:r w:rsidRPr="006E2D4E">
        <w:rPr>
          <w:rtl/>
        </w:rPr>
        <w:t xml:space="preserve"> </w:t>
      </w:r>
      <w:r>
        <w:rPr>
          <w:rFonts w:hint="cs"/>
          <w:rtl/>
        </w:rPr>
        <w:t>אשר ניסו</w:t>
      </w:r>
      <w:r w:rsidRPr="006E2D4E">
        <w:rPr>
          <w:rtl/>
        </w:rPr>
        <w:t xml:space="preserve"> </w:t>
      </w:r>
      <w:r w:rsidRPr="006E2D4E">
        <w:rPr>
          <w:rFonts w:hint="eastAsia"/>
          <w:rtl/>
        </w:rPr>
        <w:t>להסוות</w:t>
      </w:r>
      <w:r w:rsidRPr="006E2D4E">
        <w:rPr>
          <w:rtl/>
        </w:rPr>
        <w:t xml:space="preserve"> </w:t>
      </w:r>
      <w:r w:rsidRPr="006E2D4E">
        <w:rPr>
          <w:rFonts w:hint="eastAsia"/>
          <w:rtl/>
        </w:rPr>
        <w:t>את</w:t>
      </w:r>
      <w:r w:rsidRPr="006E2D4E">
        <w:rPr>
          <w:rtl/>
        </w:rPr>
        <w:t xml:space="preserve"> </w:t>
      </w:r>
      <w:r w:rsidRPr="006E2D4E">
        <w:rPr>
          <w:rFonts w:hint="eastAsia"/>
          <w:rtl/>
        </w:rPr>
        <w:t>ההפליה</w:t>
      </w:r>
      <w:r w:rsidRPr="006E2D4E">
        <w:rPr>
          <w:rtl/>
        </w:rPr>
        <w:t xml:space="preserve"> </w:t>
      </w:r>
      <w:r w:rsidRPr="006E2D4E">
        <w:rPr>
          <w:rFonts w:hint="eastAsia"/>
          <w:rtl/>
        </w:rPr>
        <w:t>כהבחנה</w:t>
      </w:r>
      <w:r w:rsidRPr="006E2D4E">
        <w:rPr>
          <w:rtl/>
        </w:rPr>
        <w:t xml:space="preserve"> </w:t>
      </w:r>
      <w:r w:rsidRPr="006E2D4E">
        <w:rPr>
          <w:rFonts w:hint="eastAsia"/>
          <w:rtl/>
        </w:rPr>
        <w:t>רלבנטית</w:t>
      </w:r>
      <w:r w:rsidRPr="006E2D4E">
        <w:rPr>
          <w:rtl/>
        </w:rPr>
        <w:t>.</w:t>
      </w:r>
      <w:r>
        <w:rPr>
          <w:rFonts w:hint="cs"/>
          <w:rtl/>
        </w:rPr>
        <w:t xml:space="preserve"> כפי שהודגש בפסיקה, הפליה "גנרית" מעין זו "פוצעת אנושות את כבוד האדם" (בג"ץ 2671/98 </w:t>
      </w:r>
      <w:r w:rsidRPr="00B90507">
        <w:rPr>
          <w:rFonts w:ascii="Century" w:hAnsi="Century" w:cs="Miriam" w:hint="cs"/>
          <w:b/>
          <w:spacing w:val="0"/>
          <w:sz w:val="22"/>
          <w:szCs w:val="24"/>
          <w:rtl/>
        </w:rPr>
        <w:t>שדולת הנשים בישראל נ' שר העבודה והרווחה</w:t>
      </w:r>
      <w:r>
        <w:rPr>
          <w:rFonts w:hint="cs"/>
          <w:rtl/>
        </w:rPr>
        <w:t xml:space="preserve">, פ"ד נב(3) 630, 659-658 (1998)) והיא נודעת </w:t>
      </w:r>
      <w:proofErr w:type="spellStart"/>
      <w:r>
        <w:rPr>
          <w:rFonts w:hint="cs"/>
          <w:rtl/>
        </w:rPr>
        <w:t>במימד</w:t>
      </w:r>
      <w:proofErr w:type="spellEnd"/>
      <w:r>
        <w:rPr>
          <w:rFonts w:hint="cs"/>
          <w:rtl/>
        </w:rPr>
        <w:t xml:space="preserve"> המשפיל שנלווה לה (עניין </w:t>
      </w:r>
      <w:r w:rsidRPr="00B90507">
        <w:rPr>
          <w:rFonts w:ascii="Century" w:hAnsi="Century" w:cs="Miriam" w:hint="cs"/>
          <w:b/>
          <w:spacing w:val="0"/>
          <w:sz w:val="22"/>
          <w:szCs w:val="24"/>
          <w:rtl/>
        </w:rPr>
        <w:t>ארד-פנקס</w:t>
      </w:r>
      <w:r>
        <w:rPr>
          <w:rFonts w:hint="cs"/>
          <w:rtl/>
        </w:rPr>
        <w:t xml:space="preserve">, פסקה 14 לפסק דיני; </w:t>
      </w:r>
      <w:proofErr w:type="spellStart"/>
      <w:r w:rsidRPr="00665C23">
        <w:rPr>
          <w:rFonts w:hint="eastAsia"/>
          <w:rtl/>
        </w:rPr>
        <w:t>עע</w:t>
      </w:r>
      <w:r w:rsidRPr="00665C23">
        <w:rPr>
          <w:rtl/>
        </w:rPr>
        <w:t>"</w:t>
      </w:r>
      <w:r>
        <w:rPr>
          <w:rFonts w:hint="cs"/>
          <w:rtl/>
        </w:rPr>
        <w:t>ם</w:t>
      </w:r>
      <w:proofErr w:type="spellEnd"/>
      <w:r w:rsidRPr="00665C23">
        <w:rPr>
          <w:rtl/>
        </w:rPr>
        <w:t xml:space="preserve"> 343/09 </w:t>
      </w:r>
      <w:r w:rsidRPr="00B90507">
        <w:rPr>
          <w:rFonts w:ascii="Century" w:hAnsi="Century" w:cs="Miriam" w:hint="eastAsia"/>
          <w:b/>
          <w:spacing w:val="0"/>
          <w:sz w:val="22"/>
          <w:szCs w:val="24"/>
          <w:rtl/>
        </w:rPr>
        <w:t>הבית</w:t>
      </w:r>
      <w:r w:rsidRPr="00B90507">
        <w:rPr>
          <w:rFonts w:ascii="Century" w:hAnsi="Century" w:cs="Miriam"/>
          <w:b/>
          <w:spacing w:val="0"/>
          <w:sz w:val="22"/>
          <w:szCs w:val="24"/>
          <w:rtl/>
        </w:rPr>
        <w:t xml:space="preserve"> </w:t>
      </w:r>
      <w:r w:rsidRPr="00B90507">
        <w:rPr>
          <w:rFonts w:ascii="Century" w:hAnsi="Century" w:cs="Miriam" w:hint="eastAsia"/>
          <w:b/>
          <w:spacing w:val="0"/>
          <w:sz w:val="22"/>
          <w:szCs w:val="24"/>
          <w:rtl/>
        </w:rPr>
        <w:t>הפתוח</w:t>
      </w:r>
      <w:r w:rsidRPr="00B90507">
        <w:rPr>
          <w:rFonts w:ascii="Century" w:hAnsi="Century" w:cs="Miriam"/>
          <w:b/>
          <w:spacing w:val="0"/>
          <w:sz w:val="22"/>
          <w:szCs w:val="24"/>
          <w:rtl/>
        </w:rPr>
        <w:t xml:space="preserve"> </w:t>
      </w:r>
      <w:r w:rsidRPr="00B90507">
        <w:rPr>
          <w:rFonts w:ascii="Century" w:hAnsi="Century" w:cs="Miriam" w:hint="eastAsia"/>
          <w:b/>
          <w:spacing w:val="0"/>
          <w:sz w:val="22"/>
          <w:szCs w:val="24"/>
          <w:rtl/>
        </w:rPr>
        <w:t>בירושלים</w:t>
      </w:r>
      <w:r w:rsidRPr="00B90507">
        <w:rPr>
          <w:rFonts w:ascii="Century" w:hAnsi="Century" w:cs="Miriam"/>
          <w:b/>
          <w:spacing w:val="0"/>
          <w:sz w:val="22"/>
          <w:szCs w:val="24"/>
          <w:rtl/>
        </w:rPr>
        <w:t xml:space="preserve"> </w:t>
      </w:r>
      <w:r w:rsidRPr="00B90507">
        <w:rPr>
          <w:rFonts w:ascii="Century" w:hAnsi="Century" w:cs="Miriam" w:hint="eastAsia"/>
          <w:b/>
          <w:spacing w:val="0"/>
          <w:sz w:val="22"/>
          <w:szCs w:val="24"/>
          <w:rtl/>
        </w:rPr>
        <w:t>לגאווה</w:t>
      </w:r>
      <w:r w:rsidRPr="00B90507">
        <w:rPr>
          <w:rFonts w:ascii="Century" w:hAnsi="Century" w:cs="Miriam"/>
          <w:b/>
          <w:spacing w:val="0"/>
          <w:sz w:val="22"/>
          <w:szCs w:val="24"/>
          <w:rtl/>
        </w:rPr>
        <w:t xml:space="preserve"> </w:t>
      </w:r>
      <w:r w:rsidRPr="00B90507">
        <w:rPr>
          <w:rFonts w:ascii="Century" w:hAnsi="Century" w:cs="Miriam" w:hint="eastAsia"/>
          <w:b/>
          <w:spacing w:val="0"/>
          <w:sz w:val="22"/>
          <w:szCs w:val="24"/>
          <w:rtl/>
        </w:rPr>
        <w:t>וסובלנות</w:t>
      </w:r>
      <w:r w:rsidRPr="00B90507">
        <w:rPr>
          <w:rFonts w:ascii="Century" w:hAnsi="Century" w:cs="Miriam"/>
          <w:b/>
          <w:spacing w:val="0"/>
          <w:sz w:val="22"/>
          <w:szCs w:val="24"/>
          <w:rtl/>
        </w:rPr>
        <w:t xml:space="preserve"> </w:t>
      </w:r>
      <w:r w:rsidRPr="00B90507">
        <w:rPr>
          <w:rFonts w:ascii="Century" w:hAnsi="Century" w:cs="Miriam" w:hint="eastAsia"/>
          <w:b/>
          <w:spacing w:val="0"/>
          <w:sz w:val="22"/>
          <w:szCs w:val="24"/>
          <w:rtl/>
        </w:rPr>
        <w:t>נ</w:t>
      </w:r>
      <w:r w:rsidRPr="00B90507">
        <w:rPr>
          <w:rFonts w:ascii="Century" w:hAnsi="Century" w:cs="Miriam"/>
          <w:b/>
          <w:spacing w:val="0"/>
          <w:sz w:val="22"/>
          <w:szCs w:val="24"/>
          <w:rtl/>
        </w:rPr>
        <w:t xml:space="preserve">' </w:t>
      </w:r>
      <w:r w:rsidRPr="00B90507">
        <w:rPr>
          <w:rFonts w:ascii="Century" w:hAnsi="Century" w:cs="Miriam" w:hint="eastAsia"/>
          <w:b/>
          <w:spacing w:val="0"/>
          <w:sz w:val="22"/>
          <w:szCs w:val="24"/>
          <w:rtl/>
        </w:rPr>
        <w:t>עיריית</w:t>
      </w:r>
      <w:r w:rsidRPr="00B90507">
        <w:rPr>
          <w:rFonts w:ascii="Century" w:hAnsi="Century" w:cs="Miriam"/>
          <w:b/>
          <w:spacing w:val="0"/>
          <w:sz w:val="22"/>
          <w:szCs w:val="24"/>
          <w:rtl/>
        </w:rPr>
        <w:t xml:space="preserve"> </w:t>
      </w:r>
      <w:r w:rsidRPr="00B90507">
        <w:rPr>
          <w:rFonts w:ascii="Century" w:hAnsi="Century" w:cs="Miriam" w:hint="eastAsia"/>
          <w:b/>
          <w:spacing w:val="0"/>
          <w:sz w:val="22"/>
          <w:szCs w:val="24"/>
          <w:rtl/>
        </w:rPr>
        <w:t>ירושלים</w:t>
      </w:r>
      <w:r w:rsidRPr="00665C23">
        <w:rPr>
          <w:rtl/>
        </w:rPr>
        <w:t xml:space="preserve">, </w:t>
      </w:r>
      <w:r>
        <w:rPr>
          <w:rFonts w:hint="cs"/>
          <w:rtl/>
        </w:rPr>
        <w:t xml:space="preserve">פ"ד </w:t>
      </w:r>
      <w:r w:rsidRPr="00665C23">
        <w:rPr>
          <w:rFonts w:hint="eastAsia"/>
          <w:rtl/>
        </w:rPr>
        <w:t>סד</w:t>
      </w:r>
      <w:r w:rsidRPr="00665C23">
        <w:rPr>
          <w:rtl/>
        </w:rPr>
        <w:t>(2) 1</w:t>
      </w:r>
      <w:r>
        <w:rPr>
          <w:rFonts w:hint="cs"/>
          <w:rtl/>
        </w:rPr>
        <w:t>, 42-41</w:t>
      </w:r>
      <w:r w:rsidRPr="00665C23">
        <w:rPr>
          <w:rtl/>
        </w:rPr>
        <w:t xml:space="preserve"> (2010)</w:t>
      </w:r>
      <w:r>
        <w:rPr>
          <w:rFonts w:hint="cs"/>
          <w:rtl/>
        </w:rPr>
        <w:t>).</w:t>
      </w:r>
      <w:r w:rsidRPr="006E2D4E">
        <w:rPr>
          <w:rFonts w:hint="cs"/>
          <w:rtl/>
        </w:rPr>
        <w:t xml:space="preserve"> </w:t>
      </w:r>
      <w:r>
        <w:rPr>
          <w:rFonts w:hint="cs"/>
          <w:rtl/>
        </w:rPr>
        <w:t xml:space="preserve">חומרתה של הפליה זו קשורה גם בכך שהיא מנציחה דעות קדומות וסטריאוטיפיים פוגעניים. בענייננו, המסר הפוגעני הטמון בהפליה הוא שנטייתו המינית של אדם </w:t>
      </w:r>
      <w:r>
        <w:rPr>
          <w:rtl/>
        </w:rPr>
        <w:t>–</w:t>
      </w:r>
      <w:r>
        <w:rPr>
          <w:rFonts w:hint="cs"/>
          <w:rtl/>
        </w:rPr>
        <w:t xml:space="preserve"> שהוא מאפיין משמעותי בזהותו </w:t>
      </w:r>
      <w:r>
        <w:rPr>
          <w:rtl/>
        </w:rPr>
        <w:t>–</w:t>
      </w:r>
      <w:r>
        <w:rPr>
          <w:rFonts w:hint="cs"/>
          <w:rtl/>
        </w:rPr>
        <w:t xml:space="preserve"> משליכה על יכולתו לספק בית מיטיב ואוהב לילד, וכי הורותם של זוגות מאותו מין היא נחותה בהשוואה להורות במסגרת תא משפחתי שמקיים את המודל המשפחתי המסורתי, קרי משפחה המורכבת מאם ואב. </w:t>
      </w:r>
    </w:p>
    <w:p w:rsidR="0046011D" w:rsidRPr="00DB386F" w:rsidRDefault="0046011D" w:rsidP="0046011D">
      <w:pPr>
        <w:pStyle w:val="Ruller4"/>
        <w:numPr>
          <w:ilvl w:val="0"/>
          <w:numId w:val="0"/>
        </w:numPr>
      </w:pPr>
    </w:p>
    <w:p w:rsidR="0046011D" w:rsidRDefault="0046011D" w:rsidP="0046011D">
      <w:pPr>
        <w:pStyle w:val="Ruller4"/>
        <w:rPr>
          <w:rtl/>
        </w:rPr>
      </w:pPr>
      <w:r>
        <w:rPr>
          <w:rFonts w:hint="cs"/>
          <w:rtl/>
        </w:rPr>
        <w:t>המישור השני של פגיעה בכבוד האדם קשור לפרט ממנו נמנעת הגישה</w:t>
      </w:r>
      <w:r w:rsidRPr="006C6583">
        <w:rPr>
          <w:rtl/>
        </w:rPr>
        <w:t xml:space="preserve"> </w:t>
      </w:r>
      <w:r>
        <w:rPr>
          <w:rtl/>
        </w:rPr>
        <w:t>–</w:t>
      </w:r>
      <w:r>
        <w:rPr>
          <w:rFonts w:hint="cs"/>
          <w:rtl/>
        </w:rPr>
        <w:t xml:space="preserve"> הלכה למעשה </w:t>
      </w:r>
      <w:r>
        <w:rPr>
          <w:rtl/>
        </w:rPr>
        <w:t>–</w:t>
      </w:r>
      <w:r>
        <w:rPr>
          <w:rFonts w:hint="cs"/>
          <w:rtl/>
        </w:rPr>
        <w:t xml:space="preserve"> לאמץ ילד (כאמור, הנתונים שהביאה המדינה מצביעים על כך שבין השנים</w:t>
      </w:r>
      <w:r>
        <w:rPr>
          <w:rFonts w:ascii="FrankRuehl" w:hAnsi="FrankRuehl" w:hint="cs"/>
          <w:sz w:val="28"/>
          <w:rtl/>
        </w:rPr>
        <w:t xml:space="preserve"> 2022-2015 נמסרו לאימוץ לזוגות מאותו</w:t>
      </w:r>
      <w:r w:rsidRPr="00F45677">
        <w:rPr>
          <w:rFonts w:ascii="FrankRuehl" w:hAnsi="FrankRuehl" w:hint="cs"/>
          <w:sz w:val="28"/>
          <w:rtl/>
        </w:rPr>
        <w:t xml:space="preserve"> מין 4 ילדים</w:t>
      </w:r>
      <w:r>
        <w:rPr>
          <w:rFonts w:ascii="FrankRuehl" w:hAnsi="FrankRuehl" w:hint="cs"/>
          <w:sz w:val="28"/>
          <w:rtl/>
        </w:rPr>
        <w:t xml:space="preserve"> בלבד</w:t>
      </w:r>
      <w:r>
        <w:rPr>
          <w:rFonts w:hint="cs"/>
          <w:rtl/>
        </w:rPr>
        <w:t xml:space="preserve">). אמנם, השאלה בדבר קיומה של זכות חוקתית לאמץ נותרה פתוחה בפסיקתנו (וראו: </w:t>
      </w:r>
      <w:r w:rsidRPr="00F45677">
        <w:rPr>
          <w:rFonts w:hint="eastAsia"/>
          <w:rtl/>
        </w:rPr>
        <w:t>בג</w:t>
      </w:r>
      <w:r w:rsidRPr="00F45677">
        <w:rPr>
          <w:rtl/>
        </w:rPr>
        <w:t>"</w:t>
      </w:r>
      <w:r w:rsidRPr="00F45677">
        <w:rPr>
          <w:rFonts w:hint="eastAsia"/>
          <w:rtl/>
        </w:rPr>
        <w:t>ץ</w:t>
      </w:r>
      <w:r w:rsidRPr="00F45677">
        <w:rPr>
          <w:rtl/>
        </w:rPr>
        <w:t xml:space="preserve"> 4293</w:t>
      </w:r>
      <w:r>
        <w:rPr>
          <w:rFonts w:hint="cs"/>
          <w:rtl/>
        </w:rPr>
        <w:t>/</w:t>
      </w:r>
      <w:r w:rsidRPr="00F45677">
        <w:rPr>
          <w:rtl/>
        </w:rPr>
        <w:t xml:space="preserve">01 </w:t>
      </w:r>
      <w:r w:rsidRPr="00F45677">
        <w:rPr>
          <w:rFonts w:ascii="Century" w:hAnsi="Century" w:cs="Miriam" w:hint="eastAsia"/>
          <w:b/>
          <w:spacing w:val="0"/>
          <w:sz w:val="22"/>
          <w:szCs w:val="24"/>
          <w:rtl/>
        </w:rPr>
        <w:t>משפחה</w:t>
      </w:r>
      <w:r w:rsidRPr="00F45677">
        <w:rPr>
          <w:rFonts w:ascii="Century" w:hAnsi="Century" w:cs="Miriam"/>
          <w:b/>
          <w:spacing w:val="0"/>
          <w:sz w:val="22"/>
          <w:szCs w:val="24"/>
          <w:rtl/>
        </w:rPr>
        <w:t xml:space="preserve"> </w:t>
      </w:r>
      <w:r w:rsidRPr="00F45677">
        <w:rPr>
          <w:rFonts w:ascii="Century" w:hAnsi="Century" w:cs="Miriam" w:hint="eastAsia"/>
          <w:b/>
          <w:spacing w:val="0"/>
          <w:sz w:val="22"/>
          <w:szCs w:val="24"/>
          <w:rtl/>
        </w:rPr>
        <w:t>חדשה</w:t>
      </w:r>
      <w:r w:rsidRPr="00F45677">
        <w:rPr>
          <w:rFonts w:ascii="Century" w:hAnsi="Century" w:cs="Miriam"/>
          <w:b/>
          <w:spacing w:val="0"/>
          <w:sz w:val="22"/>
          <w:szCs w:val="24"/>
          <w:rtl/>
        </w:rPr>
        <w:t xml:space="preserve"> </w:t>
      </w:r>
      <w:r w:rsidRPr="00F45677">
        <w:rPr>
          <w:rFonts w:ascii="Century" w:hAnsi="Century" w:cs="Miriam" w:hint="eastAsia"/>
          <w:b/>
          <w:spacing w:val="0"/>
          <w:sz w:val="22"/>
          <w:szCs w:val="24"/>
          <w:rtl/>
        </w:rPr>
        <w:t>נ</w:t>
      </w:r>
      <w:r w:rsidRPr="00F45677">
        <w:rPr>
          <w:rFonts w:ascii="Century" w:hAnsi="Century" w:cs="Miriam"/>
          <w:b/>
          <w:spacing w:val="0"/>
          <w:sz w:val="22"/>
          <w:szCs w:val="24"/>
          <w:rtl/>
        </w:rPr>
        <w:t xml:space="preserve">' </w:t>
      </w:r>
      <w:r w:rsidRPr="00F45677">
        <w:rPr>
          <w:rFonts w:ascii="Century" w:hAnsi="Century" w:cs="Miriam" w:hint="eastAsia"/>
          <w:b/>
          <w:spacing w:val="0"/>
          <w:sz w:val="22"/>
          <w:szCs w:val="24"/>
          <w:rtl/>
        </w:rPr>
        <w:t>שר</w:t>
      </w:r>
      <w:r w:rsidRPr="00F45677">
        <w:rPr>
          <w:rFonts w:ascii="Century" w:hAnsi="Century" w:cs="Miriam"/>
          <w:b/>
          <w:spacing w:val="0"/>
          <w:sz w:val="22"/>
          <w:szCs w:val="24"/>
          <w:rtl/>
        </w:rPr>
        <w:t xml:space="preserve"> </w:t>
      </w:r>
      <w:r w:rsidRPr="00F45677">
        <w:rPr>
          <w:rFonts w:ascii="Century" w:hAnsi="Century" w:cs="Miriam" w:hint="eastAsia"/>
          <w:b/>
          <w:spacing w:val="0"/>
          <w:sz w:val="22"/>
          <w:szCs w:val="24"/>
          <w:rtl/>
        </w:rPr>
        <w:t>העבודה</w:t>
      </w:r>
      <w:r w:rsidRPr="00F45677">
        <w:rPr>
          <w:rFonts w:ascii="Century" w:hAnsi="Century" w:cs="Miriam"/>
          <w:b/>
          <w:spacing w:val="0"/>
          <w:sz w:val="22"/>
          <w:szCs w:val="24"/>
          <w:rtl/>
        </w:rPr>
        <w:t xml:space="preserve"> </w:t>
      </w:r>
      <w:r w:rsidRPr="00F45677">
        <w:rPr>
          <w:rFonts w:ascii="Century" w:hAnsi="Century" w:cs="Miriam" w:hint="eastAsia"/>
          <w:b/>
          <w:spacing w:val="0"/>
          <w:sz w:val="22"/>
          <w:szCs w:val="24"/>
          <w:rtl/>
        </w:rPr>
        <w:t>והרווחה</w:t>
      </w:r>
      <w:r w:rsidRPr="00F45677">
        <w:rPr>
          <w:rFonts w:ascii="Century" w:hAnsi="Century" w:cs="Miriam" w:hint="cs"/>
          <w:b/>
          <w:spacing w:val="0"/>
          <w:sz w:val="22"/>
          <w:szCs w:val="24"/>
          <w:rtl/>
        </w:rPr>
        <w:t xml:space="preserve"> </w:t>
      </w:r>
      <w:r w:rsidRPr="00F45677">
        <w:rPr>
          <w:rFonts w:ascii="Century" w:hAnsi="Century" w:hint="cs"/>
          <w:sz w:val="22"/>
          <w:rtl/>
        </w:rPr>
        <w:t>(24.3.2009))</w:t>
      </w:r>
      <w:r w:rsidRPr="00F45677">
        <w:rPr>
          <w:rFonts w:ascii="Century" w:hAnsi="Century" w:cs="Miriam" w:hint="cs"/>
          <w:b/>
          <w:spacing w:val="0"/>
          <w:sz w:val="22"/>
          <w:szCs w:val="24"/>
          <w:rtl/>
        </w:rPr>
        <w:t xml:space="preserve">, </w:t>
      </w:r>
      <w:r w:rsidRPr="00F45677">
        <w:rPr>
          <w:rFonts w:hint="cs"/>
          <w:rtl/>
        </w:rPr>
        <w:t>ואיננו נדרשים לשאלה זו גם במסגרת ההליך שלפנינו</w:t>
      </w:r>
      <w:r>
        <w:rPr>
          <w:rFonts w:hint="cs"/>
          <w:rtl/>
        </w:rPr>
        <w:t xml:space="preserve">; ואולם אף מבלי </w:t>
      </w:r>
      <w:r w:rsidRPr="00F45677">
        <w:rPr>
          <w:rFonts w:hint="eastAsia"/>
          <w:rtl/>
        </w:rPr>
        <w:t>להכריע</w:t>
      </w:r>
      <w:r w:rsidRPr="00F45677">
        <w:rPr>
          <w:rtl/>
        </w:rPr>
        <w:t xml:space="preserve"> </w:t>
      </w:r>
      <w:r w:rsidRPr="00F45677">
        <w:rPr>
          <w:rFonts w:hint="eastAsia"/>
          <w:rtl/>
        </w:rPr>
        <w:t>בשאלת</w:t>
      </w:r>
      <w:r>
        <w:rPr>
          <w:rFonts w:hint="cs"/>
          <w:rtl/>
        </w:rPr>
        <w:t xml:space="preserve"> מעמדה של זכות לאימוץ כזכות </w:t>
      </w:r>
      <w:r w:rsidRPr="00F45677">
        <w:rPr>
          <w:rFonts w:hint="eastAsia"/>
          <w:rtl/>
        </w:rPr>
        <w:t>המשתלבת</w:t>
      </w:r>
      <w:r w:rsidRPr="00F45677">
        <w:rPr>
          <w:rtl/>
        </w:rPr>
        <w:t xml:space="preserve"> </w:t>
      </w:r>
      <w:r w:rsidRPr="00F45677">
        <w:rPr>
          <w:rFonts w:hint="eastAsia"/>
          <w:rtl/>
        </w:rPr>
        <w:lastRenderedPageBreak/>
        <w:t>בזכות</w:t>
      </w:r>
      <w:r w:rsidRPr="00F45677">
        <w:rPr>
          <w:rtl/>
        </w:rPr>
        <w:t xml:space="preserve"> </w:t>
      </w:r>
      <w:r w:rsidRPr="00F45677">
        <w:rPr>
          <w:rFonts w:hint="eastAsia"/>
          <w:rtl/>
        </w:rPr>
        <w:t>היסוד</w:t>
      </w:r>
      <w:r w:rsidRPr="00F45677">
        <w:rPr>
          <w:rtl/>
        </w:rPr>
        <w:t xml:space="preserve"> </w:t>
      </w:r>
      <w:r w:rsidRPr="00F45677">
        <w:rPr>
          <w:rFonts w:hint="eastAsia"/>
          <w:rtl/>
        </w:rPr>
        <w:t>למשפחה</w:t>
      </w:r>
      <w:r w:rsidRPr="00F45677">
        <w:rPr>
          <w:rtl/>
        </w:rPr>
        <w:t xml:space="preserve"> </w:t>
      </w:r>
      <w:r w:rsidRPr="00F45677">
        <w:rPr>
          <w:rFonts w:hint="eastAsia"/>
          <w:rtl/>
        </w:rPr>
        <w:t>ולהורות</w:t>
      </w:r>
      <w:r w:rsidRPr="00F45677">
        <w:rPr>
          <w:rtl/>
        </w:rPr>
        <w:t xml:space="preserve">, </w:t>
      </w:r>
      <w:r w:rsidRPr="00A06097">
        <w:rPr>
          <w:rFonts w:hint="cs"/>
          <w:rtl/>
        </w:rPr>
        <w:t xml:space="preserve">סבורני כי </w:t>
      </w:r>
      <w:r w:rsidRPr="00A06097">
        <w:rPr>
          <w:rFonts w:hint="eastAsia"/>
          <w:rtl/>
        </w:rPr>
        <w:t>שאלת</w:t>
      </w:r>
      <w:r w:rsidRPr="00A06097">
        <w:rPr>
          <w:rtl/>
        </w:rPr>
        <w:t xml:space="preserve"> </w:t>
      </w:r>
      <w:r w:rsidRPr="00A06097">
        <w:rPr>
          <w:rFonts w:hint="eastAsia"/>
          <w:rtl/>
        </w:rPr>
        <w:t>השוויון</w:t>
      </w:r>
      <w:r w:rsidRPr="00A06097">
        <w:rPr>
          <w:rtl/>
        </w:rPr>
        <w:t xml:space="preserve"> </w:t>
      </w:r>
      <w:r w:rsidRPr="00A06097">
        <w:rPr>
          <w:rFonts w:hint="cs"/>
          <w:rtl/>
        </w:rPr>
        <w:t>באימוץ היא בעלת היבט הנוגע במישרין לכבוד האדם, שכן ההפליה בתחום זה נוגעת לכמיהה העמוקה והשורשית של אדם להפוך להורה.</w:t>
      </w:r>
      <w:r>
        <w:rPr>
          <w:rFonts w:hint="cs"/>
          <w:rtl/>
        </w:rPr>
        <w:t xml:space="preserve"> הדרתם של זוגות מאותו מין מ"הדלת הראשית" של חוק האימוץ, פוגעת אפוא פגיעה קשה בכבודם. נוכח האמור, להשקפתי פרשנות המוציאה את בני הזוג מאותו מין </w:t>
      </w:r>
      <w:proofErr w:type="spellStart"/>
      <w:r>
        <w:rPr>
          <w:rFonts w:hint="cs"/>
          <w:rtl/>
        </w:rPr>
        <w:t>מגדריו</w:t>
      </w:r>
      <w:proofErr w:type="spellEnd"/>
      <w:r>
        <w:rPr>
          <w:rFonts w:hint="cs"/>
          <w:rtl/>
        </w:rPr>
        <w:t xml:space="preserve"> של סעיף 3 רישא מוליכה לפגיעה קשה בזכות החוקתית לשוויון.</w:t>
      </w:r>
    </w:p>
    <w:p w:rsidR="0046011D" w:rsidRDefault="0046011D" w:rsidP="0046011D">
      <w:pPr>
        <w:pStyle w:val="Ruller41"/>
        <w:rPr>
          <w:rtl/>
        </w:rPr>
      </w:pPr>
    </w:p>
    <w:p w:rsidR="0046011D" w:rsidRPr="00DE19ED" w:rsidRDefault="0046011D" w:rsidP="0046011D">
      <w:pPr>
        <w:pStyle w:val="Ruller41"/>
      </w:pPr>
      <w:r>
        <w:rPr>
          <w:rtl/>
        </w:rPr>
        <w:tab/>
      </w:r>
      <w:r>
        <w:rPr>
          <w:rFonts w:hint="cs"/>
          <w:rtl/>
        </w:rPr>
        <w:t xml:space="preserve">הנה כי כן, עמידה על התכליות האובייקטיביות של תנאי הכשירות שקבוע בסעיף 3 רישא לחוק האימוץ מעלה כי </w:t>
      </w:r>
      <w:r w:rsidRPr="008525D1">
        <w:rPr>
          <w:rFonts w:hint="eastAsia"/>
          <w:rtl/>
        </w:rPr>
        <w:t>הפרשנות</w:t>
      </w:r>
      <w:r w:rsidRPr="008525D1">
        <w:rPr>
          <w:rtl/>
        </w:rPr>
        <w:t xml:space="preserve"> </w:t>
      </w:r>
      <w:r w:rsidRPr="008525D1">
        <w:rPr>
          <w:rFonts w:hint="eastAsia"/>
          <w:rtl/>
        </w:rPr>
        <w:t>שלפיה</w:t>
      </w:r>
      <w:r>
        <w:rPr>
          <w:rFonts w:hint="cs"/>
          <w:rtl/>
        </w:rPr>
        <w:t xml:space="preserve"> זוגות מאותו מין באים בגדרו</w:t>
      </w:r>
      <w:r w:rsidRPr="008525D1">
        <w:rPr>
          <w:rtl/>
        </w:rPr>
        <w:t xml:space="preserve">, </w:t>
      </w:r>
      <w:r w:rsidRPr="008525D1">
        <w:rPr>
          <w:rFonts w:hint="eastAsia"/>
          <w:rtl/>
        </w:rPr>
        <w:t>היא</w:t>
      </w:r>
      <w:r w:rsidRPr="008525D1">
        <w:rPr>
          <w:rtl/>
        </w:rPr>
        <w:t xml:space="preserve"> </w:t>
      </w:r>
      <w:r w:rsidRPr="008525D1">
        <w:rPr>
          <w:rFonts w:hint="eastAsia"/>
          <w:rtl/>
        </w:rPr>
        <w:t>זו</w:t>
      </w:r>
      <w:r w:rsidRPr="008525D1">
        <w:rPr>
          <w:rtl/>
        </w:rPr>
        <w:t xml:space="preserve"> </w:t>
      </w:r>
      <w:r w:rsidRPr="008525D1">
        <w:rPr>
          <w:rFonts w:hint="eastAsia"/>
          <w:rtl/>
        </w:rPr>
        <w:t>המיטיבה</w:t>
      </w:r>
      <w:r w:rsidRPr="008525D1">
        <w:rPr>
          <w:rtl/>
        </w:rPr>
        <w:t xml:space="preserve"> </w:t>
      </w:r>
      <w:r w:rsidRPr="008525D1">
        <w:rPr>
          <w:rFonts w:hint="eastAsia"/>
          <w:rtl/>
        </w:rPr>
        <w:t>להגשים</w:t>
      </w:r>
      <w:r w:rsidRPr="008525D1">
        <w:rPr>
          <w:rtl/>
        </w:rPr>
        <w:t xml:space="preserve"> </w:t>
      </w:r>
      <w:r w:rsidRPr="008525D1">
        <w:rPr>
          <w:rFonts w:hint="eastAsia"/>
          <w:rtl/>
        </w:rPr>
        <w:t>את</w:t>
      </w:r>
      <w:r w:rsidRPr="008525D1">
        <w:rPr>
          <w:rtl/>
        </w:rPr>
        <w:t xml:space="preserve"> </w:t>
      </w:r>
      <w:r w:rsidRPr="008525D1">
        <w:rPr>
          <w:rFonts w:hint="eastAsia"/>
          <w:rtl/>
        </w:rPr>
        <w:t>תכליתו</w:t>
      </w:r>
      <w:r w:rsidRPr="008525D1">
        <w:rPr>
          <w:rtl/>
        </w:rPr>
        <w:t xml:space="preserve"> </w:t>
      </w:r>
      <w:r w:rsidRPr="008525D1">
        <w:rPr>
          <w:rFonts w:hint="eastAsia"/>
          <w:rtl/>
        </w:rPr>
        <w:t>של</w:t>
      </w:r>
      <w:r w:rsidRPr="008525D1">
        <w:rPr>
          <w:rtl/>
        </w:rPr>
        <w:t xml:space="preserve"> </w:t>
      </w:r>
      <w:r>
        <w:rPr>
          <w:rFonts w:hint="cs"/>
          <w:rtl/>
        </w:rPr>
        <w:t>הסעיף</w:t>
      </w:r>
      <w:r w:rsidRPr="008525D1">
        <w:rPr>
          <w:rtl/>
        </w:rPr>
        <w:t>.</w:t>
      </w:r>
    </w:p>
    <w:p w:rsidR="0046011D" w:rsidRPr="00E0009C" w:rsidRDefault="0046011D" w:rsidP="0046011D">
      <w:pPr>
        <w:pStyle w:val="Ruller4"/>
        <w:numPr>
          <w:ilvl w:val="0"/>
          <w:numId w:val="0"/>
        </w:numPr>
        <w:rPr>
          <w:rFonts w:ascii="Century" w:hAnsi="Century" w:cs="Miriam"/>
          <w:b/>
          <w:spacing w:val="0"/>
          <w:sz w:val="22"/>
          <w:szCs w:val="24"/>
          <w:rtl/>
        </w:rPr>
      </w:pPr>
    </w:p>
    <w:p w:rsidR="0046011D" w:rsidRDefault="0046011D" w:rsidP="0046011D">
      <w:pPr>
        <w:pStyle w:val="Ruller41"/>
        <w:rPr>
          <w:rtl/>
        </w:rPr>
      </w:pPr>
      <w:r>
        <w:rPr>
          <w:rFonts w:cs="Miriam" w:hint="cs"/>
          <w:spacing w:val="0"/>
          <w:sz w:val="24"/>
          <w:szCs w:val="24"/>
          <w:rtl/>
        </w:rPr>
        <w:t>שלב המסקנות: פרשנות החוק בראי התכלית</w:t>
      </w:r>
    </w:p>
    <w:p w:rsidR="0046011D" w:rsidRDefault="0046011D" w:rsidP="0046011D">
      <w:pPr>
        <w:pStyle w:val="Ruller41"/>
      </w:pPr>
    </w:p>
    <w:p w:rsidR="0046011D" w:rsidRDefault="0046011D" w:rsidP="0046011D">
      <w:pPr>
        <w:pStyle w:val="Ruller4"/>
        <w:rPr>
          <w:rtl/>
        </w:rPr>
      </w:pPr>
      <w:r>
        <w:rPr>
          <w:rFonts w:hint="cs"/>
          <w:rtl/>
        </w:rPr>
        <w:t xml:space="preserve">במוקד ההליך שלפנינו ניצב תנאי הסף לכשירות המאמצים בחוק האימוץ, שקובע כי צו אימוץ יינתן ל"איש ואשתו יחד". יישום עקרונות תורת הפרשנות התכליתית במקרה שלפנינו, הובילו אותי למסקנה כי זוגות מאותו המין באים בגדרי תיבה זו. </w:t>
      </w:r>
      <w:r w:rsidRPr="00553BC5">
        <w:rPr>
          <w:rFonts w:hint="eastAsia"/>
          <w:rtl/>
        </w:rPr>
        <w:t>תחילה</w:t>
      </w:r>
      <w:r w:rsidRPr="00553BC5">
        <w:rPr>
          <w:rtl/>
        </w:rPr>
        <w:t xml:space="preserve">, </w:t>
      </w:r>
      <w:r>
        <w:rPr>
          <w:rFonts w:hint="eastAsia"/>
          <w:rtl/>
        </w:rPr>
        <w:t>מצא</w:t>
      </w:r>
      <w:r>
        <w:rPr>
          <w:rFonts w:hint="cs"/>
          <w:rtl/>
        </w:rPr>
        <w:t>תי</w:t>
      </w:r>
      <w:r w:rsidRPr="00553BC5">
        <w:rPr>
          <w:rtl/>
        </w:rPr>
        <w:t xml:space="preserve"> </w:t>
      </w:r>
      <w:r w:rsidRPr="00553BC5">
        <w:rPr>
          <w:rFonts w:hint="eastAsia"/>
          <w:rtl/>
        </w:rPr>
        <w:t>כי</w:t>
      </w:r>
      <w:r w:rsidRPr="00553BC5">
        <w:rPr>
          <w:rtl/>
        </w:rPr>
        <w:t xml:space="preserve"> </w:t>
      </w:r>
      <w:r w:rsidRPr="00553BC5">
        <w:rPr>
          <w:rFonts w:hint="eastAsia"/>
          <w:rtl/>
        </w:rPr>
        <w:t>לשון</w:t>
      </w:r>
      <w:r w:rsidRPr="00553BC5">
        <w:rPr>
          <w:rtl/>
        </w:rPr>
        <w:t xml:space="preserve"> </w:t>
      </w:r>
      <w:r w:rsidRPr="00553BC5">
        <w:rPr>
          <w:rFonts w:hint="eastAsia"/>
          <w:rtl/>
        </w:rPr>
        <w:t>החוק</w:t>
      </w:r>
      <w:r w:rsidRPr="00553BC5">
        <w:rPr>
          <w:rtl/>
        </w:rPr>
        <w:t xml:space="preserve"> </w:t>
      </w:r>
      <w:r w:rsidRPr="00553BC5">
        <w:rPr>
          <w:rFonts w:hint="eastAsia"/>
          <w:rtl/>
        </w:rPr>
        <w:t>סובלת</w:t>
      </w:r>
      <w:r w:rsidRPr="00553BC5">
        <w:rPr>
          <w:rtl/>
        </w:rPr>
        <w:t xml:space="preserve"> </w:t>
      </w:r>
      <w:r w:rsidRPr="00553BC5">
        <w:rPr>
          <w:rFonts w:hint="eastAsia"/>
          <w:rtl/>
        </w:rPr>
        <w:t>כמה</w:t>
      </w:r>
      <w:r w:rsidRPr="00553BC5">
        <w:rPr>
          <w:rtl/>
        </w:rPr>
        <w:t xml:space="preserve"> </w:t>
      </w:r>
      <w:r w:rsidRPr="00553BC5">
        <w:rPr>
          <w:rFonts w:hint="eastAsia"/>
          <w:rtl/>
        </w:rPr>
        <w:t>פירושים</w:t>
      </w:r>
      <w:r w:rsidRPr="00553BC5">
        <w:rPr>
          <w:rtl/>
        </w:rPr>
        <w:t xml:space="preserve">, </w:t>
      </w:r>
      <w:r w:rsidRPr="00553BC5">
        <w:rPr>
          <w:rFonts w:hint="eastAsia"/>
          <w:rtl/>
        </w:rPr>
        <w:t>ומשכך</w:t>
      </w:r>
      <w:r w:rsidRPr="00553BC5">
        <w:rPr>
          <w:rtl/>
        </w:rPr>
        <w:t xml:space="preserve"> </w:t>
      </w:r>
      <w:r>
        <w:rPr>
          <w:rFonts w:hint="cs"/>
          <w:rtl/>
        </w:rPr>
        <w:t xml:space="preserve">אין בה כדי </w:t>
      </w:r>
      <w:proofErr w:type="spellStart"/>
      <w:r>
        <w:rPr>
          <w:rFonts w:hint="cs"/>
          <w:rtl/>
        </w:rPr>
        <w:t>ליתן</w:t>
      </w:r>
      <w:proofErr w:type="spellEnd"/>
      <w:r>
        <w:rPr>
          <w:rFonts w:hint="cs"/>
          <w:rtl/>
        </w:rPr>
        <w:t xml:space="preserve"> </w:t>
      </w:r>
      <w:r w:rsidRPr="00553BC5">
        <w:rPr>
          <w:rFonts w:hint="eastAsia"/>
          <w:rtl/>
        </w:rPr>
        <w:t>מענה</w:t>
      </w:r>
      <w:r w:rsidRPr="00553BC5">
        <w:rPr>
          <w:rtl/>
        </w:rPr>
        <w:t xml:space="preserve"> </w:t>
      </w:r>
      <w:r w:rsidRPr="00553BC5">
        <w:rPr>
          <w:rFonts w:hint="eastAsia"/>
          <w:rtl/>
        </w:rPr>
        <w:t>מספק</w:t>
      </w:r>
      <w:r w:rsidRPr="00553BC5">
        <w:rPr>
          <w:rtl/>
        </w:rPr>
        <w:t xml:space="preserve"> </w:t>
      </w:r>
      <w:r w:rsidRPr="00553BC5">
        <w:rPr>
          <w:rFonts w:hint="eastAsia"/>
          <w:rtl/>
        </w:rPr>
        <w:t>לשאלה</w:t>
      </w:r>
      <w:r w:rsidRPr="00553BC5">
        <w:rPr>
          <w:rtl/>
        </w:rPr>
        <w:t xml:space="preserve"> </w:t>
      </w:r>
      <w:r w:rsidRPr="00553BC5">
        <w:rPr>
          <w:rFonts w:hint="eastAsia"/>
          <w:rtl/>
        </w:rPr>
        <w:t>ה</w:t>
      </w:r>
      <w:r>
        <w:rPr>
          <w:rFonts w:hint="cs"/>
          <w:rtl/>
        </w:rPr>
        <w:t>פרשנית שלפנינו</w:t>
      </w:r>
      <w:r w:rsidRPr="00553BC5">
        <w:rPr>
          <w:rtl/>
        </w:rPr>
        <w:t>.</w:t>
      </w:r>
      <w:r w:rsidRPr="00553BC5">
        <w:rPr>
          <w:rFonts w:hint="eastAsia"/>
          <w:rtl/>
        </w:rPr>
        <w:t xml:space="preserve"> </w:t>
      </w:r>
      <w:r>
        <w:rPr>
          <w:rFonts w:hint="cs"/>
          <w:rtl/>
        </w:rPr>
        <w:t xml:space="preserve">לפיכך נדרשתי </w:t>
      </w:r>
      <w:r w:rsidRPr="00553BC5">
        <w:rPr>
          <w:rFonts w:hint="eastAsia"/>
          <w:rtl/>
        </w:rPr>
        <w:t>לתכלית</w:t>
      </w:r>
      <w:r w:rsidRPr="00553BC5">
        <w:rPr>
          <w:rtl/>
        </w:rPr>
        <w:t xml:space="preserve"> </w:t>
      </w:r>
      <w:r w:rsidRPr="00553BC5">
        <w:rPr>
          <w:rFonts w:hint="eastAsia"/>
          <w:rtl/>
        </w:rPr>
        <w:t>הסובייקטיבית</w:t>
      </w:r>
      <w:r w:rsidRPr="00553BC5">
        <w:rPr>
          <w:rtl/>
        </w:rPr>
        <w:t xml:space="preserve"> </w:t>
      </w:r>
      <w:r>
        <w:rPr>
          <w:rFonts w:hint="cs"/>
          <w:rtl/>
        </w:rPr>
        <w:t>של החקיקה: עיון ב</w:t>
      </w:r>
      <w:r>
        <w:rPr>
          <w:rFonts w:hint="eastAsia"/>
          <w:rtl/>
        </w:rPr>
        <w:t>ה</w:t>
      </w:r>
      <w:r w:rsidRPr="00553BC5">
        <w:rPr>
          <w:rFonts w:hint="eastAsia"/>
          <w:rtl/>
        </w:rPr>
        <w:t>יסטוריה</w:t>
      </w:r>
      <w:r w:rsidRPr="00553BC5">
        <w:rPr>
          <w:rtl/>
        </w:rPr>
        <w:t xml:space="preserve"> </w:t>
      </w:r>
      <w:r w:rsidRPr="00553BC5">
        <w:rPr>
          <w:rFonts w:hint="eastAsia"/>
          <w:rtl/>
        </w:rPr>
        <w:t>החקיקתית</w:t>
      </w:r>
      <w:r>
        <w:rPr>
          <w:rFonts w:hint="cs"/>
          <w:rtl/>
        </w:rPr>
        <w:t xml:space="preserve"> מעלה כי התכלית אותה ראה המחוקק לנגד עיניו הייתה טובת הילד, כאשר תפיסתו הייתה שתא משפחתי שכולל זוג הורים מיטיב עם הילד המאומץ בהשוואה למאמץ יחיד. המחוקק לא נתן את דעתו ל</w:t>
      </w:r>
      <w:r w:rsidRPr="00832E91">
        <w:rPr>
          <w:rFonts w:hint="cs"/>
          <w:rtl/>
        </w:rPr>
        <w:t>שא</w:t>
      </w:r>
      <w:r>
        <w:rPr>
          <w:rFonts w:hint="cs"/>
          <w:rtl/>
        </w:rPr>
        <w:t>לת כשירותם של בני זוג מאותו המין לאמץ. אשר לתכליות האובייקטיביות, סבורני כי הפרשנות הכוללת זוגות מאותו מין בגדרי הסעיף מיטיבה להגשימן</w:t>
      </w:r>
      <w:r w:rsidRPr="003314AC">
        <w:rPr>
          <w:rFonts w:hint="cs"/>
          <w:rtl/>
        </w:rPr>
        <w:t xml:space="preserve"> </w:t>
      </w:r>
      <w:r>
        <w:rPr>
          <w:rFonts w:hint="cs"/>
          <w:rtl/>
        </w:rPr>
        <w:t xml:space="preserve">באופן מובהק: היא מקדמת את התכלית של טובת הילד, שמהווה העיקרון המרכזי המנחה אותנו בפרשנותו של חוק האימוץ; היא מגשימה את הזכות החוקתית לשוויון, שקידומה, כמו קידום כלל זכויות האדם, מהווה תכלית אובייקטיבית של כל דבר חקיקה; ואף יש בה להגשים הרמוניה חקיקתית בין חוק האימוץ לבין חוק האומנה. מכל האמור לעיל נובע כי קביעה שלפיה התיבה "איש ואשתו יחד" תחול גם על בני זוג מאותו המין היא החלופה הפרשנית שמיטיבה להגשים את תכליות הסעיף. </w:t>
      </w:r>
    </w:p>
    <w:p w:rsidR="0046011D" w:rsidRPr="00AD470E" w:rsidRDefault="0046011D" w:rsidP="0046011D">
      <w:pPr>
        <w:pStyle w:val="Ruller41"/>
      </w:pPr>
    </w:p>
    <w:p w:rsidR="0046011D" w:rsidRPr="00E0009C" w:rsidRDefault="0046011D" w:rsidP="0046011D">
      <w:pPr>
        <w:pStyle w:val="Ruller4"/>
        <w:numPr>
          <w:ilvl w:val="0"/>
          <w:numId w:val="0"/>
        </w:numPr>
        <w:rPr>
          <w:rFonts w:ascii="Century" w:hAnsi="Century" w:cs="Miriam"/>
          <w:b/>
          <w:spacing w:val="0"/>
          <w:sz w:val="22"/>
          <w:szCs w:val="24"/>
          <w:rtl/>
        </w:rPr>
      </w:pPr>
      <w:r w:rsidRPr="00E0009C">
        <w:rPr>
          <w:rFonts w:ascii="Century" w:hAnsi="Century" w:cs="Miriam" w:hint="cs"/>
          <w:b/>
          <w:spacing w:val="0"/>
          <w:sz w:val="22"/>
          <w:szCs w:val="24"/>
          <w:rtl/>
        </w:rPr>
        <w:t>סוף דבר</w:t>
      </w:r>
    </w:p>
    <w:p w:rsidR="0046011D" w:rsidRDefault="0046011D" w:rsidP="0046011D">
      <w:pPr>
        <w:pStyle w:val="Ruller4"/>
        <w:numPr>
          <w:ilvl w:val="0"/>
          <w:numId w:val="0"/>
        </w:numPr>
      </w:pPr>
    </w:p>
    <w:p w:rsidR="0046011D" w:rsidRDefault="0046011D" w:rsidP="0046011D">
      <w:pPr>
        <w:pStyle w:val="Ruller4"/>
      </w:pPr>
      <w:bookmarkStart w:id="5" w:name="_GoBack"/>
      <w:r>
        <w:rPr>
          <w:rFonts w:hint="cs"/>
          <w:rtl/>
        </w:rPr>
        <w:t xml:space="preserve">מכל האמור לעיל נובע כי קביעה שהתיבה "איש ואשתו יחד" תחול גם על בני זוג מאותו המין היא החלופה הפרשנית שמיטיבה להגשים את תכליות הסעיף. הדבר </w:t>
      </w:r>
      <w:r>
        <w:rPr>
          <w:rFonts w:hint="cs"/>
          <w:rtl/>
        </w:rPr>
        <w:lastRenderedPageBreak/>
        <w:t xml:space="preserve">נובע בראש ובראשונה מתכליתו הפנימית של חוק האימוץ, שמורה לנו </w:t>
      </w:r>
      <w:proofErr w:type="spellStart"/>
      <w:r>
        <w:rPr>
          <w:rFonts w:hint="cs"/>
          <w:rtl/>
        </w:rPr>
        <w:t>ליתן</w:t>
      </w:r>
      <w:proofErr w:type="spellEnd"/>
      <w:r>
        <w:rPr>
          <w:rFonts w:hint="cs"/>
          <w:rtl/>
        </w:rPr>
        <w:t xml:space="preserve"> מעמד בכורה לעיקרון טובת הילד, אך בכך גם ניתן ביטוי ל</w:t>
      </w:r>
      <w:r w:rsidRPr="00C867D8">
        <w:rPr>
          <w:rFonts w:hint="eastAsia"/>
          <w:rtl/>
        </w:rPr>
        <w:t>תמורות</w:t>
      </w:r>
      <w:r w:rsidRPr="00C867D8">
        <w:rPr>
          <w:rtl/>
        </w:rPr>
        <w:t xml:space="preserve"> </w:t>
      </w:r>
      <w:r w:rsidRPr="00C867D8">
        <w:rPr>
          <w:rFonts w:hint="eastAsia"/>
          <w:rtl/>
        </w:rPr>
        <w:t>שחלו</w:t>
      </w:r>
      <w:r w:rsidRPr="00C867D8">
        <w:rPr>
          <w:rtl/>
        </w:rPr>
        <w:t xml:space="preserve"> </w:t>
      </w:r>
      <w:r w:rsidRPr="00C867D8">
        <w:rPr>
          <w:rFonts w:hint="eastAsia"/>
          <w:rtl/>
        </w:rPr>
        <w:t>בחברה</w:t>
      </w:r>
      <w:r w:rsidRPr="00C867D8">
        <w:rPr>
          <w:rtl/>
        </w:rPr>
        <w:t xml:space="preserve"> </w:t>
      </w:r>
      <w:r w:rsidRPr="00C867D8">
        <w:rPr>
          <w:rFonts w:hint="eastAsia"/>
          <w:rtl/>
        </w:rPr>
        <w:t>הישראלית</w:t>
      </w:r>
      <w:r w:rsidRPr="00C867D8">
        <w:rPr>
          <w:rtl/>
        </w:rPr>
        <w:t xml:space="preserve"> </w:t>
      </w:r>
      <w:r w:rsidRPr="00C867D8">
        <w:rPr>
          <w:rFonts w:hint="eastAsia"/>
          <w:rtl/>
        </w:rPr>
        <w:t>בכל</w:t>
      </w:r>
      <w:r w:rsidRPr="00C867D8">
        <w:rPr>
          <w:rtl/>
        </w:rPr>
        <w:t xml:space="preserve"> </w:t>
      </w:r>
      <w:r w:rsidRPr="00C867D8">
        <w:rPr>
          <w:rFonts w:hint="eastAsia"/>
          <w:rtl/>
        </w:rPr>
        <w:t>הנוגע</w:t>
      </w:r>
      <w:r w:rsidRPr="00C867D8">
        <w:rPr>
          <w:rtl/>
        </w:rPr>
        <w:t xml:space="preserve"> </w:t>
      </w:r>
      <w:r>
        <w:rPr>
          <w:rFonts w:hint="eastAsia"/>
          <w:rtl/>
        </w:rPr>
        <w:t>לתפי</w:t>
      </w:r>
      <w:r>
        <w:rPr>
          <w:rFonts w:hint="cs"/>
          <w:rtl/>
        </w:rPr>
        <w:t>ס</w:t>
      </w:r>
      <w:r w:rsidRPr="00C867D8">
        <w:rPr>
          <w:rFonts w:hint="eastAsia"/>
          <w:rtl/>
        </w:rPr>
        <w:t>ת</w:t>
      </w:r>
      <w:r w:rsidRPr="00C867D8">
        <w:rPr>
          <w:rtl/>
        </w:rPr>
        <w:t xml:space="preserve"> </w:t>
      </w:r>
      <w:r w:rsidRPr="00C867D8">
        <w:rPr>
          <w:rFonts w:hint="eastAsia"/>
          <w:rtl/>
        </w:rPr>
        <w:t>התא</w:t>
      </w:r>
      <w:r w:rsidRPr="00C867D8">
        <w:rPr>
          <w:rtl/>
        </w:rPr>
        <w:t xml:space="preserve"> </w:t>
      </w:r>
      <w:r w:rsidRPr="00C867D8">
        <w:rPr>
          <w:rFonts w:hint="eastAsia"/>
          <w:rtl/>
        </w:rPr>
        <w:t>המשפחת</w:t>
      </w:r>
      <w:r>
        <w:rPr>
          <w:rFonts w:hint="cs"/>
          <w:rtl/>
        </w:rPr>
        <w:t xml:space="preserve">י, בחלוף העשורים הארוכים מאז חקיקתו של חוק האימוץ. ויפים לענייננו דבריו של השופט </w:t>
      </w:r>
      <w:r w:rsidRPr="008A6CB1">
        <w:rPr>
          <w:rFonts w:ascii="Century" w:hAnsi="Century" w:cs="Miriam" w:hint="eastAsia"/>
          <w:b/>
          <w:spacing w:val="0"/>
          <w:sz w:val="22"/>
          <w:szCs w:val="24"/>
          <w:rtl/>
        </w:rPr>
        <w:t>מ</w:t>
      </w:r>
      <w:r w:rsidRPr="008A6CB1">
        <w:rPr>
          <w:rFonts w:ascii="Century" w:hAnsi="Century" w:cs="Miriam"/>
          <w:b/>
          <w:spacing w:val="0"/>
          <w:sz w:val="22"/>
          <w:szCs w:val="24"/>
          <w:rtl/>
        </w:rPr>
        <w:t xml:space="preserve">' </w:t>
      </w:r>
      <w:r w:rsidRPr="008A6CB1">
        <w:rPr>
          <w:rFonts w:ascii="Century" w:hAnsi="Century" w:cs="Miriam" w:hint="eastAsia"/>
          <w:b/>
          <w:spacing w:val="0"/>
          <w:sz w:val="22"/>
          <w:szCs w:val="24"/>
          <w:rtl/>
        </w:rPr>
        <w:t>חשין</w:t>
      </w:r>
      <w:r w:rsidRPr="0058583E">
        <w:rPr>
          <w:rFonts w:hint="cs"/>
          <w:rtl/>
        </w:rPr>
        <w:t xml:space="preserve"> </w:t>
      </w:r>
      <w:r>
        <w:rPr>
          <w:rFonts w:hint="cs"/>
          <w:rtl/>
        </w:rPr>
        <w:t>בפרשה אחרת:</w:t>
      </w:r>
    </w:p>
    <w:p w:rsidR="0046011D" w:rsidRPr="001A30F5" w:rsidRDefault="0046011D" w:rsidP="0046011D">
      <w:pPr>
        <w:pStyle w:val="Ruller4"/>
        <w:numPr>
          <w:ilvl w:val="0"/>
          <w:numId w:val="0"/>
        </w:numPr>
        <w:rPr>
          <w:sz w:val="28"/>
          <w:rtl/>
        </w:rPr>
      </w:pPr>
    </w:p>
    <w:p w:rsidR="0046011D" w:rsidRDefault="0046011D" w:rsidP="0046011D">
      <w:pPr>
        <w:pStyle w:val="Ruller5"/>
      </w:pPr>
      <w:r>
        <w:rPr>
          <w:rFonts w:hint="cs"/>
          <w:rtl/>
        </w:rPr>
        <w:t>"</w:t>
      </w:r>
      <w:r w:rsidRPr="00470E5C">
        <w:rPr>
          <w:rFonts w:hint="eastAsia"/>
          <w:rtl/>
        </w:rPr>
        <w:t>הנה</w:t>
      </w:r>
      <w:r w:rsidRPr="00470E5C">
        <w:rPr>
          <w:rtl/>
        </w:rPr>
        <w:t>-</w:t>
      </w:r>
      <w:r w:rsidRPr="00470E5C">
        <w:rPr>
          <w:rFonts w:hint="eastAsia"/>
          <w:rtl/>
        </w:rPr>
        <w:t>כי</w:t>
      </w:r>
      <w:r w:rsidRPr="00470E5C">
        <w:rPr>
          <w:rtl/>
        </w:rPr>
        <w:t>-</w:t>
      </w:r>
      <w:r w:rsidRPr="00470E5C">
        <w:rPr>
          <w:rFonts w:hint="eastAsia"/>
          <w:rtl/>
        </w:rPr>
        <w:t>כן</w:t>
      </w:r>
      <w:r w:rsidRPr="00470E5C">
        <w:rPr>
          <w:rtl/>
        </w:rPr>
        <w:t xml:space="preserve">, </w:t>
      </w:r>
      <w:r w:rsidRPr="00470E5C">
        <w:rPr>
          <w:rFonts w:hint="eastAsia"/>
          <w:rtl/>
        </w:rPr>
        <w:t>לפני</w:t>
      </w:r>
      <w:r w:rsidRPr="00470E5C">
        <w:rPr>
          <w:rtl/>
        </w:rPr>
        <w:t xml:space="preserve"> </w:t>
      </w:r>
      <w:r w:rsidRPr="00470E5C">
        <w:rPr>
          <w:rFonts w:hint="eastAsia"/>
          <w:rtl/>
        </w:rPr>
        <w:t>שנים</w:t>
      </w:r>
      <w:r w:rsidRPr="00470E5C">
        <w:rPr>
          <w:rtl/>
        </w:rPr>
        <w:t xml:space="preserve"> </w:t>
      </w:r>
      <w:r w:rsidRPr="00470E5C">
        <w:rPr>
          <w:rFonts w:hint="eastAsia"/>
          <w:rtl/>
        </w:rPr>
        <w:t>לא</w:t>
      </w:r>
      <w:r w:rsidRPr="00470E5C">
        <w:rPr>
          <w:rtl/>
        </w:rPr>
        <w:t xml:space="preserve"> </w:t>
      </w:r>
      <w:r w:rsidRPr="00470E5C">
        <w:rPr>
          <w:rFonts w:hint="eastAsia"/>
          <w:rtl/>
        </w:rPr>
        <w:t>רבות</w:t>
      </w:r>
      <w:r w:rsidRPr="00470E5C">
        <w:rPr>
          <w:rtl/>
        </w:rPr>
        <w:t xml:space="preserve"> – </w:t>
      </w:r>
      <w:r w:rsidRPr="00470E5C">
        <w:rPr>
          <w:rFonts w:hint="eastAsia"/>
          <w:rtl/>
        </w:rPr>
        <w:t>עשרים</w:t>
      </w:r>
      <w:r w:rsidRPr="00470E5C">
        <w:rPr>
          <w:rtl/>
        </w:rPr>
        <w:t xml:space="preserve"> </w:t>
      </w:r>
      <w:r w:rsidRPr="00470E5C">
        <w:rPr>
          <w:rFonts w:hint="eastAsia"/>
          <w:rtl/>
        </w:rPr>
        <w:t>או</w:t>
      </w:r>
      <w:r w:rsidRPr="00470E5C">
        <w:rPr>
          <w:rtl/>
        </w:rPr>
        <w:t xml:space="preserve"> </w:t>
      </w:r>
      <w:r w:rsidRPr="00470E5C">
        <w:rPr>
          <w:rFonts w:hint="eastAsia"/>
          <w:rtl/>
        </w:rPr>
        <w:t>עשרים</w:t>
      </w:r>
      <w:r w:rsidRPr="00470E5C">
        <w:rPr>
          <w:rtl/>
        </w:rPr>
        <w:t xml:space="preserve"> </w:t>
      </w:r>
      <w:r w:rsidRPr="00470E5C">
        <w:rPr>
          <w:rFonts w:hint="eastAsia"/>
          <w:rtl/>
        </w:rPr>
        <w:t>וחמש</w:t>
      </w:r>
      <w:r w:rsidRPr="00470E5C">
        <w:rPr>
          <w:rtl/>
        </w:rPr>
        <w:t xml:space="preserve"> </w:t>
      </w:r>
      <w:r w:rsidRPr="00470E5C">
        <w:rPr>
          <w:rFonts w:hint="eastAsia"/>
          <w:rtl/>
        </w:rPr>
        <w:t>שנים</w:t>
      </w:r>
      <w:r w:rsidRPr="00470E5C">
        <w:rPr>
          <w:rtl/>
        </w:rPr>
        <w:t xml:space="preserve"> – </w:t>
      </w:r>
      <w:r w:rsidRPr="00470E5C">
        <w:rPr>
          <w:rFonts w:hint="eastAsia"/>
          <w:rtl/>
        </w:rPr>
        <w:t>לא</w:t>
      </w:r>
      <w:r w:rsidRPr="00470E5C">
        <w:rPr>
          <w:rtl/>
        </w:rPr>
        <w:t xml:space="preserve"> </w:t>
      </w:r>
      <w:r w:rsidRPr="00470E5C">
        <w:rPr>
          <w:rFonts w:hint="eastAsia"/>
          <w:rtl/>
        </w:rPr>
        <w:t>היה</w:t>
      </w:r>
      <w:r w:rsidRPr="00470E5C">
        <w:rPr>
          <w:rtl/>
        </w:rPr>
        <w:t xml:space="preserve"> </w:t>
      </w:r>
      <w:r w:rsidRPr="00470E5C">
        <w:rPr>
          <w:rFonts w:hint="eastAsia"/>
          <w:rtl/>
        </w:rPr>
        <w:t>עולה</w:t>
      </w:r>
      <w:r w:rsidRPr="00470E5C">
        <w:rPr>
          <w:rtl/>
        </w:rPr>
        <w:t xml:space="preserve"> </w:t>
      </w:r>
      <w:r w:rsidRPr="00470E5C">
        <w:rPr>
          <w:rFonts w:hint="eastAsia"/>
          <w:rtl/>
        </w:rPr>
        <w:t>על</w:t>
      </w:r>
      <w:r w:rsidRPr="00470E5C">
        <w:rPr>
          <w:rtl/>
        </w:rPr>
        <w:t xml:space="preserve"> </w:t>
      </w:r>
      <w:r w:rsidRPr="00470E5C">
        <w:rPr>
          <w:rFonts w:hint="eastAsia"/>
          <w:rtl/>
        </w:rPr>
        <w:t>דעת</w:t>
      </w:r>
      <w:r w:rsidRPr="00470E5C">
        <w:rPr>
          <w:rtl/>
        </w:rPr>
        <w:t xml:space="preserve"> </w:t>
      </w:r>
      <w:r w:rsidRPr="00470E5C">
        <w:rPr>
          <w:rFonts w:hint="eastAsia"/>
          <w:rtl/>
        </w:rPr>
        <w:t>אישה</w:t>
      </w:r>
      <w:r w:rsidRPr="00470E5C">
        <w:rPr>
          <w:rtl/>
        </w:rPr>
        <w:t xml:space="preserve"> </w:t>
      </w:r>
      <w:r w:rsidRPr="00470E5C">
        <w:rPr>
          <w:rFonts w:hint="eastAsia"/>
          <w:rtl/>
        </w:rPr>
        <w:t>או</w:t>
      </w:r>
      <w:r w:rsidRPr="00470E5C">
        <w:rPr>
          <w:rtl/>
        </w:rPr>
        <w:t xml:space="preserve"> </w:t>
      </w:r>
      <w:r w:rsidRPr="00470E5C">
        <w:rPr>
          <w:rFonts w:hint="eastAsia"/>
          <w:rtl/>
        </w:rPr>
        <w:t>איש</w:t>
      </w:r>
      <w:r w:rsidRPr="00470E5C">
        <w:rPr>
          <w:rtl/>
        </w:rPr>
        <w:t xml:space="preserve"> </w:t>
      </w:r>
      <w:r w:rsidRPr="00470E5C">
        <w:rPr>
          <w:rFonts w:hint="eastAsia"/>
          <w:rtl/>
        </w:rPr>
        <w:t>לומר</w:t>
      </w:r>
      <w:r w:rsidRPr="00470E5C">
        <w:rPr>
          <w:rtl/>
        </w:rPr>
        <w:t xml:space="preserve"> </w:t>
      </w:r>
      <w:r w:rsidRPr="00470E5C">
        <w:rPr>
          <w:rFonts w:hint="eastAsia"/>
          <w:rtl/>
        </w:rPr>
        <w:t>כי</w:t>
      </w:r>
      <w:r w:rsidRPr="00470E5C">
        <w:rPr>
          <w:rtl/>
        </w:rPr>
        <w:t xml:space="preserve"> </w:t>
      </w:r>
      <w:r w:rsidRPr="00470E5C">
        <w:rPr>
          <w:rFonts w:hint="eastAsia"/>
          <w:rtl/>
        </w:rPr>
        <w:t>המושג</w:t>
      </w:r>
      <w:r>
        <w:rPr>
          <w:rtl/>
        </w:rPr>
        <w:t xml:space="preserve"> </w:t>
      </w:r>
      <w:r>
        <w:rPr>
          <w:rFonts w:hint="cs"/>
          <w:rtl/>
        </w:rPr>
        <w:t>'</w:t>
      </w:r>
      <w:r w:rsidRPr="00470E5C">
        <w:rPr>
          <w:rFonts w:hint="eastAsia"/>
          <w:rtl/>
        </w:rPr>
        <w:t>בן</w:t>
      </w:r>
      <w:r w:rsidRPr="00470E5C">
        <w:rPr>
          <w:rtl/>
        </w:rPr>
        <w:t>-</w:t>
      </w:r>
      <w:r w:rsidRPr="00470E5C">
        <w:rPr>
          <w:rFonts w:hint="eastAsia"/>
          <w:rtl/>
        </w:rPr>
        <w:t>זוגו</w:t>
      </w:r>
      <w:r>
        <w:rPr>
          <w:rFonts w:hint="cs"/>
          <w:rtl/>
        </w:rPr>
        <w:t>'</w:t>
      </w:r>
      <w:r w:rsidRPr="00470E5C">
        <w:rPr>
          <w:rtl/>
        </w:rPr>
        <w:t xml:space="preserve"> </w:t>
      </w:r>
      <w:r w:rsidRPr="00470E5C">
        <w:rPr>
          <w:rFonts w:hint="eastAsia"/>
          <w:rtl/>
        </w:rPr>
        <w:t>שבפקודת</w:t>
      </w:r>
      <w:r w:rsidRPr="00470E5C">
        <w:rPr>
          <w:rtl/>
        </w:rPr>
        <w:t xml:space="preserve"> </w:t>
      </w:r>
      <w:proofErr w:type="spellStart"/>
      <w:r w:rsidRPr="00470E5C">
        <w:rPr>
          <w:rFonts w:hint="eastAsia"/>
          <w:rtl/>
        </w:rPr>
        <w:t>הנזיקין</w:t>
      </w:r>
      <w:proofErr w:type="spellEnd"/>
      <w:r w:rsidRPr="00470E5C">
        <w:rPr>
          <w:rtl/>
        </w:rPr>
        <w:t xml:space="preserve"> [</w:t>
      </w:r>
      <w:r w:rsidRPr="00470E5C">
        <w:rPr>
          <w:rFonts w:hint="eastAsia"/>
          <w:rtl/>
        </w:rPr>
        <w:t>נוסח</w:t>
      </w:r>
      <w:r w:rsidRPr="00470E5C">
        <w:rPr>
          <w:rtl/>
        </w:rPr>
        <w:t xml:space="preserve"> </w:t>
      </w:r>
      <w:r w:rsidRPr="00470E5C">
        <w:rPr>
          <w:rFonts w:hint="eastAsia"/>
          <w:rtl/>
        </w:rPr>
        <w:t>חדש</w:t>
      </w:r>
      <w:r w:rsidRPr="00470E5C">
        <w:rPr>
          <w:rtl/>
        </w:rPr>
        <w:t xml:space="preserve">] </w:t>
      </w:r>
      <w:r w:rsidRPr="00470E5C">
        <w:rPr>
          <w:rFonts w:hint="eastAsia"/>
          <w:rtl/>
        </w:rPr>
        <w:t>פורש</w:t>
      </w:r>
      <w:r w:rsidRPr="00470E5C">
        <w:rPr>
          <w:rtl/>
        </w:rPr>
        <w:t xml:space="preserve"> </w:t>
      </w:r>
      <w:r w:rsidRPr="00470E5C">
        <w:rPr>
          <w:rFonts w:hint="eastAsia"/>
          <w:rtl/>
        </w:rPr>
        <w:t>כנפיו</w:t>
      </w:r>
      <w:r w:rsidRPr="00470E5C">
        <w:rPr>
          <w:rtl/>
        </w:rPr>
        <w:t xml:space="preserve"> </w:t>
      </w:r>
      <w:r w:rsidRPr="00470E5C">
        <w:rPr>
          <w:rFonts w:hint="eastAsia"/>
          <w:rtl/>
        </w:rPr>
        <w:t>גם</w:t>
      </w:r>
      <w:r w:rsidRPr="00470E5C">
        <w:rPr>
          <w:rtl/>
        </w:rPr>
        <w:t xml:space="preserve"> </w:t>
      </w:r>
      <w:r w:rsidRPr="00470E5C">
        <w:rPr>
          <w:rFonts w:hint="eastAsia"/>
          <w:rtl/>
        </w:rPr>
        <w:t>על</w:t>
      </w:r>
      <w:r w:rsidRPr="00470E5C">
        <w:rPr>
          <w:rtl/>
        </w:rPr>
        <w:t xml:space="preserve"> </w:t>
      </w:r>
      <w:r w:rsidRPr="00470E5C">
        <w:rPr>
          <w:rFonts w:hint="eastAsia"/>
          <w:rtl/>
        </w:rPr>
        <w:t>הידועה</w:t>
      </w:r>
      <w:r w:rsidRPr="00470E5C">
        <w:rPr>
          <w:rtl/>
        </w:rPr>
        <w:t xml:space="preserve"> </w:t>
      </w:r>
      <w:r w:rsidRPr="00470E5C">
        <w:rPr>
          <w:rFonts w:hint="eastAsia"/>
          <w:rtl/>
        </w:rPr>
        <w:t>בציבור</w:t>
      </w:r>
      <w:r w:rsidRPr="00470E5C">
        <w:rPr>
          <w:rtl/>
        </w:rPr>
        <w:t xml:space="preserve">. </w:t>
      </w:r>
      <w:r w:rsidRPr="00470E5C">
        <w:rPr>
          <w:rFonts w:hint="eastAsia"/>
          <w:rtl/>
        </w:rPr>
        <w:t>והנה</w:t>
      </w:r>
      <w:r w:rsidRPr="00470E5C">
        <w:rPr>
          <w:rtl/>
        </w:rPr>
        <w:t xml:space="preserve"> </w:t>
      </w:r>
      <w:r w:rsidRPr="00470E5C">
        <w:rPr>
          <w:rFonts w:hint="eastAsia"/>
          <w:rtl/>
        </w:rPr>
        <w:t>בימינו</w:t>
      </w:r>
      <w:r w:rsidRPr="00470E5C">
        <w:rPr>
          <w:rtl/>
        </w:rPr>
        <w:t xml:space="preserve"> </w:t>
      </w:r>
      <w:r w:rsidRPr="00470E5C">
        <w:rPr>
          <w:rFonts w:hint="eastAsia"/>
          <w:rtl/>
        </w:rPr>
        <w:t>אמרנו</w:t>
      </w:r>
      <w:r w:rsidRPr="00470E5C">
        <w:rPr>
          <w:rtl/>
        </w:rPr>
        <w:t xml:space="preserve"> </w:t>
      </w:r>
      <w:r w:rsidRPr="00470E5C">
        <w:rPr>
          <w:rFonts w:hint="eastAsia"/>
          <w:rtl/>
        </w:rPr>
        <w:t>כך</w:t>
      </w:r>
      <w:r>
        <w:rPr>
          <w:rFonts w:hint="cs"/>
          <w:rtl/>
        </w:rPr>
        <w:t xml:space="preserve"> [...]</w:t>
      </w:r>
      <w:r w:rsidRPr="00470E5C">
        <w:rPr>
          <w:rtl/>
        </w:rPr>
        <w:t xml:space="preserve"> </w:t>
      </w:r>
      <w:r w:rsidRPr="00470E5C">
        <w:rPr>
          <w:rFonts w:hint="eastAsia"/>
          <w:rtl/>
        </w:rPr>
        <w:t>ובימי</w:t>
      </w:r>
      <w:r w:rsidRPr="00470E5C">
        <w:rPr>
          <w:rtl/>
        </w:rPr>
        <w:t xml:space="preserve"> </w:t>
      </w:r>
      <w:r w:rsidRPr="00470E5C">
        <w:rPr>
          <w:rFonts w:hint="eastAsia"/>
          <w:rtl/>
        </w:rPr>
        <w:t>אבותינו</w:t>
      </w:r>
      <w:r w:rsidRPr="00470E5C">
        <w:rPr>
          <w:rtl/>
        </w:rPr>
        <w:t xml:space="preserve">, </w:t>
      </w:r>
      <w:r w:rsidRPr="00470E5C">
        <w:rPr>
          <w:rFonts w:hint="eastAsia"/>
          <w:rtl/>
        </w:rPr>
        <w:t>גם</w:t>
      </w:r>
      <w:r w:rsidRPr="00470E5C">
        <w:rPr>
          <w:rtl/>
        </w:rPr>
        <w:t xml:space="preserve"> </w:t>
      </w:r>
      <w:r w:rsidRPr="00470E5C">
        <w:rPr>
          <w:rFonts w:hint="eastAsia"/>
          <w:rtl/>
        </w:rPr>
        <w:t>מי</w:t>
      </w:r>
      <w:r w:rsidRPr="00470E5C">
        <w:rPr>
          <w:rtl/>
        </w:rPr>
        <w:t xml:space="preserve"> </w:t>
      </w:r>
      <w:r w:rsidRPr="00470E5C">
        <w:rPr>
          <w:rFonts w:hint="eastAsia"/>
          <w:rtl/>
        </w:rPr>
        <w:t>שאימצו</w:t>
      </w:r>
      <w:r w:rsidRPr="00470E5C">
        <w:rPr>
          <w:rtl/>
        </w:rPr>
        <w:t xml:space="preserve"> </w:t>
      </w:r>
      <w:r w:rsidRPr="00470E5C">
        <w:rPr>
          <w:rFonts w:hint="eastAsia"/>
          <w:rtl/>
        </w:rPr>
        <w:t>את</w:t>
      </w:r>
      <w:r w:rsidRPr="00470E5C">
        <w:rPr>
          <w:rtl/>
        </w:rPr>
        <w:t xml:space="preserve"> </w:t>
      </w:r>
      <w:r w:rsidRPr="00470E5C">
        <w:rPr>
          <w:rFonts w:hint="eastAsia"/>
          <w:rtl/>
        </w:rPr>
        <w:t>דמיונם</w:t>
      </w:r>
      <w:r w:rsidRPr="00470E5C">
        <w:rPr>
          <w:rtl/>
        </w:rPr>
        <w:t xml:space="preserve"> </w:t>
      </w:r>
      <w:r w:rsidRPr="00470E5C">
        <w:rPr>
          <w:rFonts w:hint="eastAsia"/>
          <w:rtl/>
        </w:rPr>
        <w:t>לא</w:t>
      </w:r>
      <w:r w:rsidRPr="00470E5C">
        <w:rPr>
          <w:rtl/>
        </w:rPr>
        <w:t xml:space="preserve"> </w:t>
      </w:r>
      <w:r w:rsidRPr="00470E5C">
        <w:rPr>
          <w:rFonts w:hint="eastAsia"/>
          <w:rtl/>
        </w:rPr>
        <w:t>היה</w:t>
      </w:r>
      <w:r w:rsidRPr="00470E5C">
        <w:rPr>
          <w:rtl/>
        </w:rPr>
        <w:t xml:space="preserve"> </w:t>
      </w:r>
      <w:r w:rsidRPr="00470E5C">
        <w:rPr>
          <w:rFonts w:hint="eastAsia"/>
          <w:rtl/>
        </w:rPr>
        <w:t>עולה</w:t>
      </w:r>
      <w:r w:rsidRPr="00470E5C">
        <w:rPr>
          <w:rtl/>
        </w:rPr>
        <w:t xml:space="preserve"> </w:t>
      </w:r>
      <w:r w:rsidRPr="00470E5C">
        <w:rPr>
          <w:rFonts w:hint="eastAsia"/>
          <w:rtl/>
        </w:rPr>
        <w:t>בדעתם</w:t>
      </w:r>
      <w:r w:rsidRPr="00470E5C">
        <w:rPr>
          <w:rtl/>
        </w:rPr>
        <w:t xml:space="preserve"> </w:t>
      </w:r>
      <w:r w:rsidRPr="00470E5C">
        <w:rPr>
          <w:rFonts w:hint="eastAsia"/>
          <w:rtl/>
        </w:rPr>
        <w:t>כי</w:t>
      </w:r>
      <w:r w:rsidRPr="00470E5C">
        <w:rPr>
          <w:rtl/>
        </w:rPr>
        <w:t xml:space="preserve"> </w:t>
      </w:r>
      <w:r w:rsidRPr="00470E5C">
        <w:rPr>
          <w:rFonts w:hint="eastAsia"/>
          <w:rtl/>
        </w:rPr>
        <w:t>שתי</w:t>
      </w:r>
      <w:r>
        <w:rPr>
          <w:rFonts w:hint="cs"/>
          <w:rtl/>
        </w:rPr>
        <w:t xml:space="preserve"> </w:t>
      </w:r>
      <w:r w:rsidRPr="00470E5C">
        <w:rPr>
          <w:rFonts w:hint="eastAsia"/>
          <w:rtl/>
        </w:rPr>
        <w:t>נשים</w:t>
      </w:r>
      <w:r w:rsidRPr="00470E5C">
        <w:rPr>
          <w:rtl/>
        </w:rPr>
        <w:t xml:space="preserve"> </w:t>
      </w:r>
      <w:r w:rsidRPr="00470E5C">
        <w:rPr>
          <w:rFonts w:hint="eastAsia"/>
          <w:rtl/>
        </w:rPr>
        <w:t>אפשר</w:t>
      </w:r>
      <w:r w:rsidRPr="00470E5C">
        <w:rPr>
          <w:rtl/>
        </w:rPr>
        <w:t xml:space="preserve"> </w:t>
      </w:r>
      <w:r w:rsidRPr="00470E5C">
        <w:rPr>
          <w:rFonts w:hint="eastAsia"/>
          <w:rtl/>
        </w:rPr>
        <w:t>תירשמנה</w:t>
      </w:r>
      <w:r w:rsidRPr="00470E5C">
        <w:rPr>
          <w:rtl/>
        </w:rPr>
        <w:t xml:space="preserve"> </w:t>
      </w:r>
      <w:r w:rsidRPr="00470E5C">
        <w:rPr>
          <w:rFonts w:hint="eastAsia"/>
          <w:rtl/>
        </w:rPr>
        <w:t>במרשם</w:t>
      </w:r>
      <w:r w:rsidRPr="00470E5C">
        <w:rPr>
          <w:rtl/>
        </w:rPr>
        <w:t xml:space="preserve"> </w:t>
      </w:r>
      <w:r w:rsidRPr="00470E5C">
        <w:rPr>
          <w:rFonts w:hint="eastAsia"/>
          <w:rtl/>
        </w:rPr>
        <w:t>האוכלוסין</w:t>
      </w:r>
      <w:r w:rsidRPr="00470E5C">
        <w:rPr>
          <w:rtl/>
        </w:rPr>
        <w:t xml:space="preserve"> </w:t>
      </w:r>
      <w:r w:rsidRPr="00470E5C">
        <w:rPr>
          <w:rFonts w:hint="eastAsia"/>
          <w:rtl/>
        </w:rPr>
        <w:t>כאימהות</w:t>
      </w:r>
      <w:r w:rsidRPr="00470E5C">
        <w:rPr>
          <w:rtl/>
        </w:rPr>
        <w:t xml:space="preserve"> </w:t>
      </w:r>
      <w:r w:rsidRPr="00470E5C">
        <w:rPr>
          <w:rFonts w:hint="eastAsia"/>
          <w:rtl/>
        </w:rPr>
        <w:t>לפעוט</w:t>
      </w:r>
      <w:r w:rsidRPr="00470E5C">
        <w:rPr>
          <w:rtl/>
        </w:rPr>
        <w:t xml:space="preserve">, </w:t>
      </w:r>
      <w:r w:rsidRPr="00470E5C">
        <w:rPr>
          <w:rFonts w:hint="eastAsia"/>
          <w:rtl/>
        </w:rPr>
        <w:t>שהרי</w:t>
      </w:r>
      <w:r>
        <w:rPr>
          <w:rtl/>
        </w:rPr>
        <w:t xml:space="preserve"> </w:t>
      </w:r>
      <w:r>
        <w:rPr>
          <w:rFonts w:hint="cs"/>
          <w:rtl/>
        </w:rPr>
        <w:t>'</w:t>
      </w:r>
      <w:r w:rsidRPr="00470E5C">
        <w:rPr>
          <w:rFonts w:hint="eastAsia"/>
          <w:rtl/>
        </w:rPr>
        <w:t>אימא</w:t>
      </w:r>
      <w:r w:rsidRPr="00470E5C">
        <w:rPr>
          <w:rtl/>
        </w:rPr>
        <w:t xml:space="preserve"> </w:t>
      </w:r>
      <w:r w:rsidRPr="00470E5C">
        <w:rPr>
          <w:rFonts w:hint="eastAsia"/>
          <w:rtl/>
        </w:rPr>
        <w:t>יש</w:t>
      </w:r>
      <w:r w:rsidRPr="00470E5C">
        <w:rPr>
          <w:rtl/>
        </w:rPr>
        <w:t xml:space="preserve"> </w:t>
      </w:r>
      <w:r w:rsidRPr="00470E5C">
        <w:rPr>
          <w:rFonts w:hint="eastAsia"/>
          <w:rtl/>
        </w:rPr>
        <w:t>רק</w:t>
      </w:r>
      <w:r w:rsidRPr="00470E5C">
        <w:rPr>
          <w:rtl/>
        </w:rPr>
        <w:t xml:space="preserve"> </w:t>
      </w:r>
      <w:r w:rsidRPr="00470E5C">
        <w:rPr>
          <w:rFonts w:hint="eastAsia"/>
          <w:rtl/>
        </w:rPr>
        <w:t>אחת</w:t>
      </w:r>
      <w:r>
        <w:rPr>
          <w:rFonts w:hint="cs"/>
          <w:rtl/>
        </w:rPr>
        <w:t>'</w:t>
      </w:r>
      <w:r w:rsidRPr="00470E5C">
        <w:rPr>
          <w:rtl/>
        </w:rPr>
        <w:t xml:space="preserve">. </w:t>
      </w:r>
      <w:r w:rsidRPr="00470E5C">
        <w:rPr>
          <w:rFonts w:hint="eastAsia"/>
          <w:rtl/>
        </w:rPr>
        <w:t>ובימינו</w:t>
      </w:r>
      <w:r w:rsidRPr="00470E5C">
        <w:rPr>
          <w:rtl/>
        </w:rPr>
        <w:t xml:space="preserve"> </w:t>
      </w:r>
      <w:r w:rsidRPr="00470E5C">
        <w:rPr>
          <w:rFonts w:hint="eastAsia"/>
          <w:rtl/>
        </w:rPr>
        <w:t>אירע</w:t>
      </w:r>
      <w:r w:rsidRPr="00470E5C">
        <w:rPr>
          <w:rtl/>
        </w:rPr>
        <w:t xml:space="preserve"> </w:t>
      </w:r>
      <w:r w:rsidRPr="00470E5C">
        <w:rPr>
          <w:rFonts w:hint="eastAsia"/>
          <w:rtl/>
        </w:rPr>
        <w:t>הדבר</w:t>
      </w:r>
      <w:r>
        <w:rPr>
          <w:rFonts w:hint="cs"/>
          <w:rtl/>
        </w:rPr>
        <w:t xml:space="preserve"> [...]</w:t>
      </w:r>
      <w:r w:rsidRPr="00470E5C">
        <w:rPr>
          <w:rtl/>
        </w:rPr>
        <w:t xml:space="preserve"> </w:t>
      </w:r>
      <w:r w:rsidRPr="00470E5C">
        <w:rPr>
          <w:rFonts w:hint="eastAsia"/>
          <w:rtl/>
        </w:rPr>
        <w:t>אפשר</w:t>
      </w:r>
      <w:r w:rsidRPr="00470E5C">
        <w:rPr>
          <w:rtl/>
        </w:rPr>
        <w:t xml:space="preserve"> </w:t>
      </w:r>
      <w:r w:rsidRPr="00470E5C">
        <w:rPr>
          <w:rFonts w:hint="eastAsia"/>
          <w:rtl/>
        </w:rPr>
        <w:t>אפוא</w:t>
      </w:r>
      <w:r w:rsidRPr="00470E5C">
        <w:rPr>
          <w:rtl/>
        </w:rPr>
        <w:t xml:space="preserve"> </w:t>
      </w:r>
      <w:r w:rsidRPr="00470E5C">
        <w:rPr>
          <w:rFonts w:hint="eastAsia"/>
          <w:rtl/>
        </w:rPr>
        <w:t>כי</w:t>
      </w:r>
      <w:r w:rsidRPr="00470E5C">
        <w:rPr>
          <w:rtl/>
        </w:rPr>
        <w:t xml:space="preserve"> </w:t>
      </w:r>
      <w:r w:rsidRPr="00470E5C">
        <w:rPr>
          <w:rFonts w:hint="eastAsia"/>
          <w:rtl/>
        </w:rPr>
        <w:t>בנסיבות</w:t>
      </w:r>
      <w:r w:rsidRPr="00470E5C">
        <w:rPr>
          <w:rtl/>
        </w:rPr>
        <w:t xml:space="preserve"> </w:t>
      </w:r>
      <w:r w:rsidRPr="00470E5C">
        <w:rPr>
          <w:rFonts w:hint="eastAsia"/>
          <w:rtl/>
        </w:rPr>
        <w:t>מתאימות</w:t>
      </w:r>
      <w:r w:rsidRPr="00470E5C">
        <w:rPr>
          <w:rtl/>
        </w:rPr>
        <w:t xml:space="preserve"> </w:t>
      </w:r>
      <w:r w:rsidRPr="00470E5C">
        <w:rPr>
          <w:rFonts w:hint="eastAsia"/>
          <w:rtl/>
        </w:rPr>
        <w:t>יחליט</w:t>
      </w:r>
      <w:r w:rsidRPr="00470E5C">
        <w:rPr>
          <w:rtl/>
        </w:rPr>
        <w:t xml:space="preserve"> </w:t>
      </w:r>
      <w:r w:rsidRPr="00470E5C">
        <w:rPr>
          <w:rFonts w:hint="eastAsia"/>
          <w:rtl/>
        </w:rPr>
        <w:t>בית</w:t>
      </w:r>
      <w:r w:rsidRPr="00470E5C">
        <w:rPr>
          <w:rtl/>
        </w:rPr>
        <w:t>-</w:t>
      </w:r>
      <w:r w:rsidRPr="00470E5C">
        <w:rPr>
          <w:rFonts w:hint="eastAsia"/>
          <w:rtl/>
        </w:rPr>
        <w:t>משפט</w:t>
      </w:r>
      <w:r w:rsidRPr="00470E5C">
        <w:rPr>
          <w:rtl/>
        </w:rPr>
        <w:t xml:space="preserve"> </w:t>
      </w:r>
      <w:r w:rsidRPr="00470E5C">
        <w:rPr>
          <w:rFonts w:hint="eastAsia"/>
          <w:rtl/>
        </w:rPr>
        <w:t>בימינו</w:t>
      </w:r>
      <w:r w:rsidRPr="00470E5C">
        <w:rPr>
          <w:rtl/>
        </w:rPr>
        <w:t xml:space="preserve"> – </w:t>
      </w:r>
      <w:r w:rsidRPr="00470E5C">
        <w:rPr>
          <w:rFonts w:hint="eastAsia"/>
          <w:rtl/>
        </w:rPr>
        <w:t>או</w:t>
      </w:r>
      <w:r w:rsidRPr="00470E5C">
        <w:rPr>
          <w:rtl/>
        </w:rPr>
        <w:t xml:space="preserve"> </w:t>
      </w:r>
      <w:r w:rsidRPr="00470E5C">
        <w:rPr>
          <w:rFonts w:hint="eastAsia"/>
          <w:rtl/>
        </w:rPr>
        <w:t>בימים</w:t>
      </w:r>
      <w:r w:rsidRPr="00470E5C">
        <w:rPr>
          <w:rtl/>
        </w:rPr>
        <w:t xml:space="preserve"> </w:t>
      </w:r>
      <w:r w:rsidRPr="00470E5C">
        <w:rPr>
          <w:rFonts w:hint="eastAsia"/>
          <w:rtl/>
        </w:rPr>
        <w:t>יבואו</w:t>
      </w:r>
      <w:r w:rsidRPr="00470E5C">
        <w:rPr>
          <w:rtl/>
        </w:rPr>
        <w:t xml:space="preserve"> – </w:t>
      </w:r>
      <w:r w:rsidRPr="00470E5C">
        <w:rPr>
          <w:rFonts w:hint="eastAsia"/>
          <w:rtl/>
        </w:rPr>
        <w:t>החלטות</w:t>
      </w:r>
      <w:r w:rsidRPr="00470E5C">
        <w:rPr>
          <w:rtl/>
        </w:rPr>
        <w:t xml:space="preserve"> </w:t>
      </w:r>
      <w:r w:rsidRPr="00470E5C">
        <w:rPr>
          <w:rFonts w:hint="eastAsia"/>
          <w:rtl/>
        </w:rPr>
        <w:t>נוספות</w:t>
      </w:r>
      <w:r w:rsidRPr="00470E5C">
        <w:rPr>
          <w:rtl/>
        </w:rPr>
        <w:t xml:space="preserve"> </w:t>
      </w:r>
      <w:r>
        <w:rPr>
          <w:rFonts w:hint="cs"/>
          <w:rtl/>
        </w:rPr>
        <w:t>[ש]</w:t>
      </w:r>
      <w:r w:rsidRPr="00470E5C">
        <w:rPr>
          <w:rFonts w:hint="eastAsia"/>
          <w:rtl/>
        </w:rPr>
        <w:t>לא</w:t>
      </w:r>
      <w:r w:rsidRPr="00470E5C">
        <w:rPr>
          <w:rtl/>
        </w:rPr>
        <w:t xml:space="preserve"> </w:t>
      </w:r>
      <w:r w:rsidRPr="00470E5C">
        <w:rPr>
          <w:rFonts w:hint="eastAsia"/>
          <w:rtl/>
        </w:rPr>
        <w:t>שיערו</w:t>
      </w:r>
      <w:r w:rsidRPr="00470E5C">
        <w:rPr>
          <w:rtl/>
        </w:rPr>
        <w:t xml:space="preserve"> </w:t>
      </w:r>
      <w:r w:rsidRPr="00470E5C">
        <w:rPr>
          <w:rFonts w:hint="eastAsia"/>
          <w:rtl/>
        </w:rPr>
        <w:t>אבותינו</w:t>
      </w:r>
      <w:r>
        <w:rPr>
          <w:rFonts w:hint="cs"/>
          <w:rtl/>
        </w:rPr>
        <w:t>" (</w:t>
      </w:r>
      <w:r w:rsidRPr="00470E5C">
        <w:rPr>
          <w:rFonts w:hint="eastAsia"/>
          <w:rtl/>
        </w:rPr>
        <w:t>בג</w:t>
      </w:r>
      <w:r w:rsidRPr="00470E5C">
        <w:rPr>
          <w:rtl/>
        </w:rPr>
        <w:t>"</w:t>
      </w:r>
      <w:r w:rsidRPr="00470E5C">
        <w:rPr>
          <w:rFonts w:hint="eastAsia"/>
          <w:rtl/>
        </w:rPr>
        <w:t>ץ</w:t>
      </w:r>
      <w:r w:rsidRPr="00470E5C">
        <w:rPr>
          <w:rtl/>
        </w:rPr>
        <w:t xml:space="preserve"> 9098</w:t>
      </w:r>
      <w:r>
        <w:rPr>
          <w:rFonts w:hint="cs"/>
          <w:rtl/>
        </w:rPr>
        <w:t>/</w:t>
      </w:r>
      <w:r>
        <w:rPr>
          <w:rtl/>
        </w:rPr>
        <w:t>01</w:t>
      </w:r>
      <w:r w:rsidRPr="00470E5C">
        <w:rPr>
          <w:rtl/>
        </w:rPr>
        <w:t xml:space="preserve"> </w:t>
      </w:r>
      <w:proofErr w:type="spellStart"/>
      <w:r w:rsidRPr="00470E5C">
        <w:rPr>
          <w:rFonts w:ascii="Century" w:hAnsi="Century" w:cs="Miriam" w:hint="eastAsia"/>
          <w:b/>
          <w:spacing w:val="0"/>
          <w:szCs w:val="24"/>
          <w:rtl/>
        </w:rPr>
        <w:t>גניס</w:t>
      </w:r>
      <w:proofErr w:type="spellEnd"/>
      <w:r w:rsidRPr="00470E5C">
        <w:rPr>
          <w:rFonts w:ascii="Century" w:hAnsi="Century" w:cs="Miriam"/>
          <w:b/>
          <w:spacing w:val="0"/>
          <w:szCs w:val="24"/>
          <w:rtl/>
        </w:rPr>
        <w:t xml:space="preserve"> </w:t>
      </w:r>
      <w:r w:rsidRPr="00470E5C">
        <w:rPr>
          <w:rFonts w:ascii="Century" w:hAnsi="Century" w:cs="Miriam" w:hint="eastAsia"/>
          <w:b/>
          <w:spacing w:val="0"/>
          <w:szCs w:val="24"/>
          <w:rtl/>
        </w:rPr>
        <w:t>נ</w:t>
      </w:r>
      <w:r w:rsidRPr="00470E5C">
        <w:rPr>
          <w:rFonts w:ascii="Century" w:hAnsi="Century" w:cs="Miriam"/>
          <w:b/>
          <w:spacing w:val="0"/>
          <w:szCs w:val="24"/>
          <w:rtl/>
        </w:rPr>
        <w:t xml:space="preserve">' </w:t>
      </w:r>
      <w:r w:rsidRPr="00470E5C">
        <w:rPr>
          <w:rFonts w:ascii="Century" w:hAnsi="Century" w:cs="Miriam" w:hint="eastAsia"/>
          <w:b/>
          <w:spacing w:val="0"/>
          <w:szCs w:val="24"/>
          <w:rtl/>
        </w:rPr>
        <w:t>משרד</w:t>
      </w:r>
      <w:r w:rsidRPr="00470E5C">
        <w:rPr>
          <w:rFonts w:ascii="Century" w:hAnsi="Century" w:cs="Miriam"/>
          <w:b/>
          <w:spacing w:val="0"/>
          <w:szCs w:val="24"/>
          <w:rtl/>
        </w:rPr>
        <w:t xml:space="preserve"> </w:t>
      </w:r>
      <w:r w:rsidRPr="00470E5C">
        <w:rPr>
          <w:rFonts w:ascii="Century" w:hAnsi="Century" w:cs="Miriam" w:hint="eastAsia"/>
          <w:b/>
          <w:spacing w:val="0"/>
          <w:szCs w:val="24"/>
          <w:rtl/>
        </w:rPr>
        <w:t>הבינוי</w:t>
      </w:r>
      <w:r w:rsidRPr="00470E5C">
        <w:rPr>
          <w:rFonts w:ascii="Century" w:hAnsi="Century" w:cs="Miriam"/>
          <w:b/>
          <w:spacing w:val="0"/>
          <w:szCs w:val="24"/>
          <w:rtl/>
        </w:rPr>
        <w:t xml:space="preserve"> </w:t>
      </w:r>
      <w:r w:rsidRPr="00470E5C">
        <w:rPr>
          <w:rFonts w:ascii="Century" w:hAnsi="Century" w:cs="Miriam" w:hint="eastAsia"/>
          <w:b/>
          <w:spacing w:val="0"/>
          <w:szCs w:val="24"/>
          <w:rtl/>
        </w:rPr>
        <w:t>והשיכון</w:t>
      </w:r>
      <w:r w:rsidRPr="00470E5C">
        <w:rPr>
          <w:rtl/>
        </w:rPr>
        <w:t xml:space="preserve">, </w:t>
      </w:r>
      <w:r w:rsidRPr="00470E5C">
        <w:rPr>
          <w:rFonts w:hint="eastAsia"/>
          <w:rtl/>
        </w:rPr>
        <w:t>פ</w:t>
      </w:r>
      <w:r w:rsidRPr="00470E5C">
        <w:rPr>
          <w:rtl/>
        </w:rPr>
        <w:t>"</w:t>
      </w:r>
      <w:r w:rsidRPr="00470E5C">
        <w:rPr>
          <w:rFonts w:hint="eastAsia"/>
          <w:rtl/>
        </w:rPr>
        <w:t>ד</w:t>
      </w:r>
      <w:r w:rsidRPr="00470E5C">
        <w:rPr>
          <w:rtl/>
        </w:rPr>
        <w:t xml:space="preserve"> </w:t>
      </w:r>
      <w:r w:rsidRPr="00470E5C">
        <w:rPr>
          <w:rFonts w:hint="eastAsia"/>
          <w:rtl/>
        </w:rPr>
        <w:t>נט</w:t>
      </w:r>
      <w:r w:rsidRPr="00470E5C">
        <w:rPr>
          <w:rtl/>
        </w:rPr>
        <w:t>(4) 241</w:t>
      </w:r>
      <w:r>
        <w:rPr>
          <w:rFonts w:hint="cs"/>
          <w:rtl/>
        </w:rPr>
        <w:t>, 271-270 (2004)).</w:t>
      </w:r>
    </w:p>
    <w:p w:rsidR="0046011D" w:rsidRPr="006E1DEB" w:rsidRDefault="0046011D" w:rsidP="0046011D">
      <w:pPr>
        <w:pStyle w:val="Ruller4"/>
        <w:numPr>
          <w:ilvl w:val="0"/>
          <w:numId w:val="0"/>
        </w:numPr>
        <w:rPr>
          <w:rtl/>
        </w:rPr>
      </w:pPr>
      <w:r w:rsidRPr="008525D1">
        <w:rPr>
          <w:rtl/>
        </w:rPr>
        <w:t xml:space="preserve"> </w:t>
      </w:r>
    </w:p>
    <w:p w:rsidR="0046011D" w:rsidRDefault="0046011D" w:rsidP="0046011D">
      <w:pPr>
        <w:pStyle w:val="Ruller41"/>
        <w:rPr>
          <w:rtl/>
        </w:rPr>
      </w:pPr>
      <w:r>
        <w:rPr>
          <w:rtl/>
        </w:rPr>
        <w:tab/>
      </w:r>
      <w:r>
        <w:rPr>
          <w:rFonts w:hint="cs"/>
          <w:rtl/>
        </w:rPr>
        <w:t xml:space="preserve">משמצאנו כי טובת הילד, אשר ניצבת במרכזו של חוק האימוץ, לא מושפעת מנטייתם המינית של הוריו </w:t>
      </w:r>
      <w:r>
        <w:rPr>
          <w:rtl/>
        </w:rPr>
        <w:t>–</w:t>
      </w:r>
      <w:r>
        <w:rPr>
          <w:rFonts w:hint="cs"/>
          <w:rtl/>
        </w:rPr>
        <w:t xml:space="preserve"> יהיו הם בני זוג הטרוסקסואליים או בני זוג מאותו המין </w:t>
      </w:r>
      <w:r>
        <w:rPr>
          <w:rtl/>
        </w:rPr>
        <w:t>–</w:t>
      </w:r>
      <w:r>
        <w:rPr>
          <w:rFonts w:hint="cs"/>
          <w:rtl/>
        </w:rPr>
        <w:t xml:space="preserve"> אין מקום לפרש את חוק האימוץ באופן שמציב מחסום קטגורי וגורף שמונע מהשירות למען הילד לבחון, בכל מקרה לגופו, את יכולתם של ההורים המיועדים לספק בית מיטיב לילד.</w:t>
      </w:r>
    </w:p>
    <w:p w:rsidR="0046011D" w:rsidRDefault="0046011D" w:rsidP="0046011D">
      <w:pPr>
        <w:pStyle w:val="Ruller4"/>
        <w:numPr>
          <w:ilvl w:val="0"/>
          <w:numId w:val="0"/>
        </w:numPr>
        <w:rPr>
          <w:rtl/>
        </w:rPr>
      </w:pPr>
    </w:p>
    <w:p w:rsidR="0046011D" w:rsidRDefault="0046011D" w:rsidP="0046011D">
      <w:pPr>
        <w:pStyle w:val="Ruller4"/>
        <w:numPr>
          <w:ilvl w:val="0"/>
          <w:numId w:val="0"/>
        </w:numPr>
        <w:rPr>
          <w:rtl/>
        </w:rPr>
      </w:pPr>
      <w:r>
        <w:rPr>
          <w:rtl/>
        </w:rPr>
        <w:tab/>
      </w:r>
      <w:r>
        <w:rPr>
          <w:rFonts w:hint="cs"/>
          <w:rtl/>
        </w:rPr>
        <w:t xml:space="preserve">אשר על כן, </w:t>
      </w:r>
      <w:r w:rsidRPr="00C433F9">
        <w:rPr>
          <w:rFonts w:hint="eastAsia"/>
          <w:rtl/>
        </w:rPr>
        <w:t>אציע</w:t>
      </w:r>
      <w:r w:rsidRPr="00C433F9">
        <w:rPr>
          <w:rtl/>
        </w:rPr>
        <w:t xml:space="preserve"> </w:t>
      </w:r>
      <w:r w:rsidRPr="00C433F9">
        <w:rPr>
          <w:rFonts w:hint="eastAsia"/>
          <w:rtl/>
        </w:rPr>
        <w:t>לחבריי</w:t>
      </w:r>
      <w:r w:rsidRPr="00C433F9">
        <w:rPr>
          <w:rtl/>
        </w:rPr>
        <w:t xml:space="preserve"> </w:t>
      </w:r>
      <w:r w:rsidRPr="00C433F9">
        <w:rPr>
          <w:rFonts w:hint="eastAsia"/>
          <w:rtl/>
        </w:rPr>
        <w:t>לעשות</w:t>
      </w:r>
      <w:r w:rsidRPr="00C433F9">
        <w:rPr>
          <w:rtl/>
        </w:rPr>
        <w:t xml:space="preserve"> </w:t>
      </w:r>
      <w:r w:rsidRPr="00C433F9">
        <w:rPr>
          <w:rFonts w:hint="eastAsia"/>
          <w:rtl/>
        </w:rPr>
        <w:t>את</w:t>
      </w:r>
      <w:r w:rsidRPr="00C433F9">
        <w:rPr>
          <w:rtl/>
        </w:rPr>
        <w:t xml:space="preserve"> </w:t>
      </w:r>
      <w:r w:rsidRPr="00C433F9">
        <w:rPr>
          <w:rFonts w:hint="eastAsia"/>
          <w:rtl/>
        </w:rPr>
        <w:t>הצו</w:t>
      </w:r>
      <w:r w:rsidRPr="00C433F9">
        <w:rPr>
          <w:rtl/>
        </w:rPr>
        <w:t xml:space="preserve"> </w:t>
      </w:r>
      <w:r w:rsidRPr="00C433F9">
        <w:rPr>
          <w:rFonts w:hint="eastAsia"/>
          <w:rtl/>
        </w:rPr>
        <w:t>על</w:t>
      </w:r>
      <w:r w:rsidRPr="00C433F9">
        <w:rPr>
          <w:rtl/>
        </w:rPr>
        <w:t xml:space="preserve"> </w:t>
      </w:r>
      <w:r w:rsidRPr="00C433F9">
        <w:rPr>
          <w:rFonts w:hint="eastAsia"/>
          <w:rtl/>
        </w:rPr>
        <w:t>תנאי</w:t>
      </w:r>
      <w:r w:rsidRPr="00C433F9">
        <w:rPr>
          <w:rtl/>
        </w:rPr>
        <w:t xml:space="preserve"> </w:t>
      </w:r>
      <w:r w:rsidRPr="00C433F9">
        <w:rPr>
          <w:rFonts w:hint="eastAsia"/>
          <w:rtl/>
        </w:rPr>
        <w:t>למוחלט</w:t>
      </w:r>
      <w:r>
        <w:rPr>
          <w:rFonts w:hint="cs"/>
          <w:rtl/>
        </w:rPr>
        <w:t xml:space="preserve"> ולפרש את סעיף 3 כך שגם בני זוג מאותו המין יבואו בגדר התיבה "איש ואשתו יחד". </w:t>
      </w:r>
      <w:r>
        <w:rPr>
          <w:rFonts w:hint="cs"/>
          <w:sz w:val="28"/>
          <w:rtl/>
        </w:rPr>
        <w:t xml:space="preserve">נוכח חשיבות הסוגיה ומורכבותה </w:t>
      </w:r>
      <w:r>
        <w:rPr>
          <w:rFonts w:hint="cs"/>
          <w:rtl/>
        </w:rPr>
        <w:t xml:space="preserve">אציע כי לא ייעשה צו להוצאות. </w:t>
      </w:r>
    </w:p>
    <w:bookmarkEnd w:id="5"/>
    <w:p w:rsidR="008A62F8" w:rsidRDefault="008A62F8" w:rsidP="008A62F8">
      <w:pPr>
        <w:pStyle w:val="Ruller41"/>
        <w:rPr>
          <w:rtl/>
        </w:rPr>
      </w:pPr>
    </w:p>
    <w:p w:rsidR="008A62F8" w:rsidRPr="00872589" w:rsidRDefault="008A62F8" w:rsidP="008A62F8">
      <w:pPr>
        <w:pStyle w:val="Ruller41"/>
        <w:rPr>
          <w:rtl/>
        </w:rPr>
      </w:pPr>
    </w:p>
    <w:tbl>
      <w:tblPr>
        <w:bidiVisual/>
        <w:tblW w:w="8363" w:type="dxa"/>
        <w:tblLook w:val="01E0" w:firstRow="1" w:lastRow="1" w:firstColumn="1" w:lastColumn="1" w:noHBand="0" w:noVBand="0"/>
      </w:tblPr>
      <w:tblGrid>
        <w:gridCol w:w="2783"/>
        <w:gridCol w:w="2797"/>
        <w:gridCol w:w="2783"/>
      </w:tblGrid>
      <w:tr w:rsidR="008A62F8" w:rsidRPr="00267280" w:rsidTr="00332182">
        <w:tc>
          <w:tcPr>
            <w:tcW w:w="2783" w:type="dxa"/>
            <w:shd w:val="clear" w:color="auto" w:fill="auto"/>
          </w:tcPr>
          <w:p w:rsidR="008A62F8" w:rsidRPr="00267280" w:rsidRDefault="008A62F8" w:rsidP="00332182">
            <w:pPr>
              <w:pStyle w:val="Ruller41"/>
              <w:jc w:val="center"/>
              <w:rPr>
                <w:rtl/>
              </w:rPr>
            </w:pPr>
            <w:r w:rsidRPr="003E4F42">
              <w:rPr>
                <w:rtl/>
              </w:rPr>
              <w:tab/>
            </w:r>
          </w:p>
        </w:tc>
        <w:tc>
          <w:tcPr>
            <w:tcW w:w="2797" w:type="dxa"/>
            <w:shd w:val="clear" w:color="auto" w:fill="auto"/>
          </w:tcPr>
          <w:p w:rsidR="008A62F8" w:rsidRPr="00267280" w:rsidRDefault="008A62F8" w:rsidP="00332182">
            <w:pPr>
              <w:pStyle w:val="Ruller41"/>
              <w:jc w:val="center"/>
              <w:rPr>
                <w:rtl/>
              </w:rPr>
            </w:pPr>
          </w:p>
        </w:tc>
        <w:tc>
          <w:tcPr>
            <w:tcW w:w="2783" w:type="dxa"/>
            <w:shd w:val="clear" w:color="auto" w:fill="auto"/>
          </w:tcPr>
          <w:p w:rsidR="008A62F8" w:rsidRPr="00267280" w:rsidRDefault="008A62F8" w:rsidP="00332182">
            <w:pPr>
              <w:pStyle w:val="Ruller41"/>
              <w:jc w:val="right"/>
              <w:rPr>
                <w:rtl/>
              </w:rPr>
            </w:pPr>
            <w:r>
              <w:rPr>
                <w:rFonts w:hint="cs"/>
                <w:rtl/>
              </w:rPr>
              <w:t>מ"מ הנשיא</w:t>
            </w:r>
          </w:p>
        </w:tc>
      </w:tr>
    </w:tbl>
    <w:p w:rsidR="00272E66" w:rsidRDefault="00272E66" w:rsidP="00272E66">
      <w:pPr>
        <w:pStyle w:val="Ruller41"/>
        <w:rPr>
          <w:rtl/>
        </w:rPr>
      </w:pPr>
    </w:p>
    <w:p w:rsidR="00272E66" w:rsidRPr="0043761E" w:rsidRDefault="00272E66" w:rsidP="00272E66">
      <w:pPr>
        <w:jc w:val="both"/>
        <w:rPr>
          <w:rFonts w:ascii="Century" w:hAnsi="Century" w:cs="Miriam"/>
          <w:b/>
          <w:sz w:val="22"/>
          <w:rtl/>
        </w:rPr>
      </w:pPr>
      <w:r w:rsidRPr="0043761E">
        <w:rPr>
          <w:rFonts w:ascii="Century" w:hAnsi="Century" w:cs="Miriam"/>
          <w:b/>
          <w:sz w:val="22"/>
          <w:u w:val="single"/>
          <w:rtl/>
        </w:rPr>
        <w:t xml:space="preserve">השופט </w:t>
      </w:r>
      <w:r w:rsidRPr="0043761E">
        <w:rPr>
          <w:rFonts w:ascii="Century" w:hAnsi="Century" w:cs="Miriam" w:hint="cs"/>
          <w:b/>
          <w:sz w:val="22"/>
          <w:u w:val="single"/>
          <w:rtl/>
        </w:rPr>
        <w:t>א' שטיין</w:t>
      </w:r>
      <w:r w:rsidRPr="0043761E">
        <w:rPr>
          <w:rFonts w:ascii="Century" w:hAnsi="Century" w:cs="Miriam"/>
          <w:b/>
          <w:sz w:val="22"/>
          <w:rtl/>
        </w:rPr>
        <w:t>:</w:t>
      </w:r>
    </w:p>
    <w:p w:rsidR="00272E66" w:rsidRDefault="00272E66" w:rsidP="00272E66">
      <w:pPr>
        <w:pStyle w:val="Ruller41"/>
        <w:rPr>
          <w:rtl/>
        </w:rPr>
      </w:pPr>
    </w:p>
    <w:p w:rsidR="00272E66" w:rsidRDefault="00272E66" w:rsidP="00272E66">
      <w:pPr>
        <w:pStyle w:val="Ruller4"/>
        <w:numPr>
          <w:ilvl w:val="0"/>
          <w:numId w:val="14"/>
        </w:numPr>
      </w:pPr>
      <w:r>
        <w:rPr>
          <w:rFonts w:hint="cs"/>
          <w:rtl/>
        </w:rPr>
        <w:t xml:space="preserve">אני מצטרף למסקנה אליה הגיע חברי, ממלא מקום הנשיא: אפשרויותיהם של בני זוג מאותו מין לאמץ ילד או ילדה בישראל אינן פחותות מאלו של בני זוג הטרוסקסואליים. </w:t>
      </w:r>
    </w:p>
    <w:p w:rsidR="00272E66" w:rsidRDefault="00272E66" w:rsidP="00272E66">
      <w:pPr>
        <w:pStyle w:val="Ruller4"/>
        <w:numPr>
          <w:ilvl w:val="0"/>
          <w:numId w:val="0"/>
        </w:numPr>
      </w:pPr>
    </w:p>
    <w:p w:rsidR="00272E66" w:rsidRDefault="00272E66" w:rsidP="00272E66">
      <w:pPr>
        <w:pStyle w:val="Ruller4"/>
      </w:pPr>
      <w:r>
        <w:rPr>
          <w:rFonts w:hint="cs"/>
          <w:rtl/>
        </w:rPr>
        <w:lastRenderedPageBreak/>
        <w:t xml:space="preserve">מסקנה זו מתחייבת, ואף מתבקשת, מהאמור בחוק אימוץ ילדים, התשמ"א-1981 (להלן: </w:t>
      </w:r>
      <w:r w:rsidRPr="00A477BB">
        <w:rPr>
          <w:rFonts w:ascii="Century" w:hAnsi="Century" w:cs="Miriam" w:hint="cs"/>
          <w:b/>
          <w:spacing w:val="0"/>
          <w:sz w:val="22"/>
          <w:szCs w:val="24"/>
          <w:rtl/>
        </w:rPr>
        <w:t>חוק האימוץ</w:t>
      </w:r>
      <w:r>
        <w:rPr>
          <w:rFonts w:hint="cs"/>
          <w:rtl/>
        </w:rPr>
        <w:t xml:space="preserve">), גופו. </w:t>
      </w:r>
    </w:p>
    <w:p w:rsidR="00272E66" w:rsidRDefault="00272E66" w:rsidP="00272E66">
      <w:pPr>
        <w:pStyle w:val="Ruller4"/>
        <w:numPr>
          <w:ilvl w:val="0"/>
          <w:numId w:val="0"/>
        </w:numPr>
      </w:pPr>
    </w:p>
    <w:p w:rsidR="00272E66" w:rsidRPr="00AE219A" w:rsidRDefault="00272E66" w:rsidP="00272E66">
      <w:pPr>
        <w:pStyle w:val="Ruller4"/>
        <w:rPr>
          <w:sz w:val="28"/>
        </w:rPr>
      </w:pPr>
      <w:r>
        <w:rPr>
          <w:rFonts w:hint="cs"/>
          <w:rtl/>
        </w:rPr>
        <w:t>ראשית, אציין כי סעיף 3(1) לחוק האימוץ מסמיך את בית המשפט "</w:t>
      </w:r>
      <w:proofErr w:type="spellStart"/>
      <w:r w:rsidRPr="00AE219A">
        <w:rPr>
          <w:rFonts w:hint="eastAsia"/>
          <w:sz w:val="28"/>
          <w:rtl/>
        </w:rPr>
        <w:t>ל</w:t>
      </w:r>
      <w:r w:rsidRPr="00AE219A">
        <w:rPr>
          <w:rStyle w:val="default"/>
          <w:rFonts w:ascii="FrankRuehl" w:hAnsi="FrankRuehl"/>
          <w:color w:val="000000"/>
          <w:sz w:val="28"/>
          <w:rtl/>
        </w:rPr>
        <w:t>יתן</w:t>
      </w:r>
      <w:proofErr w:type="spellEnd"/>
      <w:r w:rsidRPr="00AE219A">
        <w:rPr>
          <w:rStyle w:val="default"/>
          <w:rFonts w:ascii="FrankRuehl" w:hAnsi="FrankRuehl"/>
          <w:color w:val="000000"/>
          <w:sz w:val="28"/>
          <w:rtl/>
        </w:rPr>
        <w:t xml:space="preserve"> צו אימוץ למאמץ יחיד [...] אם </w:t>
      </w:r>
      <w:r w:rsidRPr="004E4000">
        <w:rPr>
          <w:rStyle w:val="default"/>
          <w:rFonts w:ascii="Century" w:hAnsi="Century" w:cs="Miriam"/>
          <w:b/>
          <w:spacing w:val="0"/>
          <w:sz w:val="22"/>
          <w:szCs w:val="24"/>
          <w:rtl/>
        </w:rPr>
        <w:t>בן זוגו</w:t>
      </w:r>
      <w:r w:rsidRPr="004E4000">
        <w:rPr>
          <w:rStyle w:val="default"/>
          <w:rFonts w:ascii="FrankRuehl" w:hAnsi="FrankRuehl"/>
          <w:color w:val="000000"/>
          <w:sz w:val="26"/>
          <w:szCs w:val="26"/>
          <w:rtl/>
        </w:rPr>
        <w:t xml:space="preserve"> </w:t>
      </w:r>
      <w:r>
        <w:rPr>
          <w:rStyle w:val="default"/>
          <w:rFonts w:ascii="FrankRuehl" w:hAnsi="FrankRuehl" w:hint="cs"/>
          <w:color w:val="000000"/>
          <w:sz w:val="26"/>
          <w:szCs w:val="26"/>
          <w:rtl/>
        </w:rPr>
        <w:t>[...]</w:t>
      </w:r>
      <w:r w:rsidRPr="00A477BB">
        <w:rPr>
          <w:rStyle w:val="default"/>
          <w:rFonts w:ascii="FrankRuehl" w:hAnsi="FrankRuehl"/>
          <w:color w:val="000000"/>
          <w:sz w:val="26"/>
          <w:szCs w:val="26"/>
          <w:rtl/>
        </w:rPr>
        <w:t xml:space="preserve"> </w:t>
      </w:r>
      <w:r w:rsidRPr="00AE219A">
        <w:rPr>
          <w:rStyle w:val="default"/>
          <w:rFonts w:ascii="FrankRuehl" w:hAnsi="FrankRuehl"/>
          <w:color w:val="000000"/>
          <w:sz w:val="28"/>
          <w:rtl/>
        </w:rPr>
        <w:t>אימץ אותו לפני כן</w:t>
      </w:r>
      <w:r>
        <w:rPr>
          <w:rStyle w:val="default"/>
          <w:rFonts w:ascii="FrankRuehl" w:hAnsi="FrankRuehl" w:hint="cs"/>
          <w:color w:val="000000"/>
          <w:sz w:val="26"/>
          <w:szCs w:val="26"/>
          <w:rtl/>
        </w:rPr>
        <w:t xml:space="preserve">" </w:t>
      </w:r>
      <w:r w:rsidRPr="00AE219A">
        <w:rPr>
          <w:rStyle w:val="default"/>
          <w:rFonts w:ascii="FrankRuehl" w:hAnsi="FrankRuehl"/>
          <w:color w:val="000000"/>
          <w:sz w:val="28"/>
          <w:rtl/>
        </w:rPr>
        <w:t xml:space="preserve">(ההדגשה הוספה – א.ש.) </w:t>
      </w:r>
      <w:r w:rsidRPr="00AE219A">
        <w:rPr>
          <w:rStyle w:val="default"/>
          <w:rFonts w:ascii="FrankRuehl" w:hAnsi="FrankRuehl" w:hint="eastAsia"/>
          <w:color w:val="000000"/>
          <w:sz w:val="28"/>
          <w:rtl/>
        </w:rPr>
        <w:t>בהוראה</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זו</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התיבה</w:t>
      </w:r>
      <w:r w:rsidRPr="00AE219A">
        <w:rPr>
          <w:rStyle w:val="default"/>
          <w:rFonts w:ascii="FrankRuehl" w:hAnsi="FrankRuehl"/>
          <w:color w:val="000000"/>
          <w:sz w:val="28"/>
          <w:rtl/>
        </w:rPr>
        <w:t xml:space="preserve"> "בן </w:t>
      </w:r>
      <w:r w:rsidRPr="00AE219A">
        <w:rPr>
          <w:rStyle w:val="default"/>
          <w:rFonts w:ascii="FrankRuehl" w:hAnsi="FrankRuehl" w:hint="eastAsia"/>
          <w:color w:val="000000"/>
          <w:sz w:val="28"/>
          <w:rtl/>
        </w:rPr>
        <w:t>זוגו</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שונה</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מהמילים</w:t>
      </w:r>
      <w:r w:rsidRPr="00AE219A">
        <w:rPr>
          <w:rStyle w:val="default"/>
          <w:rFonts w:ascii="FrankRuehl" w:hAnsi="FrankRuehl"/>
          <w:color w:val="000000"/>
          <w:sz w:val="28"/>
          <w:rtl/>
        </w:rPr>
        <w:t xml:space="preserve"> "איש</w:t>
      </w:r>
      <w:r>
        <w:rPr>
          <w:rStyle w:val="default"/>
          <w:rFonts w:ascii="FrankRuehl" w:hAnsi="FrankRuehl" w:hint="cs"/>
          <w:color w:val="000000"/>
          <w:sz w:val="26"/>
          <w:szCs w:val="26"/>
          <w:rtl/>
        </w:rPr>
        <w:t xml:space="preserve"> </w:t>
      </w:r>
      <w:r w:rsidRPr="004E4000">
        <w:rPr>
          <w:rStyle w:val="default"/>
          <w:rFonts w:ascii="Century" w:hAnsi="Century" w:cs="Miriam" w:hint="cs"/>
          <w:b/>
          <w:spacing w:val="0"/>
          <w:sz w:val="22"/>
          <w:szCs w:val="24"/>
          <w:rtl/>
        </w:rPr>
        <w:t>ואשתו</w:t>
      </w:r>
      <w:r>
        <w:rPr>
          <w:rStyle w:val="default"/>
          <w:rFonts w:ascii="FrankRuehl" w:hAnsi="FrankRuehl" w:hint="cs"/>
          <w:color w:val="000000"/>
          <w:sz w:val="26"/>
          <w:szCs w:val="26"/>
          <w:rtl/>
        </w:rPr>
        <w:t xml:space="preserve"> </w:t>
      </w:r>
      <w:r w:rsidRPr="00AE219A">
        <w:rPr>
          <w:rStyle w:val="default"/>
          <w:rFonts w:ascii="FrankRuehl" w:hAnsi="FrankRuehl" w:hint="eastAsia"/>
          <w:color w:val="000000"/>
          <w:sz w:val="28"/>
          <w:rtl/>
        </w:rPr>
        <w:t>יחד</w:t>
      </w:r>
      <w:r w:rsidRPr="00AE219A">
        <w:rPr>
          <w:rStyle w:val="default"/>
          <w:rFonts w:ascii="FrankRuehl" w:hAnsi="FrankRuehl"/>
          <w:color w:val="000000"/>
          <w:sz w:val="28"/>
          <w:rtl/>
        </w:rPr>
        <w:t>"</w:t>
      </w:r>
      <w:r>
        <w:rPr>
          <w:rStyle w:val="default"/>
          <w:rFonts w:ascii="FrankRuehl" w:hAnsi="FrankRuehl" w:hint="cs"/>
          <w:color w:val="000000"/>
          <w:sz w:val="28"/>
          <w:rtl/>
        </w:rPr>
        <w:t>,</w:t>
      </w:r>
      <w:r w:rsidRPr="00AE219A">
        <w:rPr>
          <w:rStyle w:val="default"/>
          <w:rFonts w:ascii="FrankRuehl" w:hAnsi="FrankRuehl"/>
          <w:color w:val="000000"/>
          <w:sz w:val="28"/>
          <w:rtl/>
        </w:rPr>
        <w:t xml:space="preserve"> בהן עושה שימוש סעיף 3 רישא בהתייחסו ל</w:t>
      </w:r>
      <w:r w:rsidRPr="00AE219A">
        <w:rPr>
          <w:rStyle w:val="default"/>
          <w:rFonts w:ascii="FrankRuehl" w:hAnsi="FrankRuehl" w:hint="eastAsia"/>
          <w:color w:val="000000"/>
          <w:sz w:val="28"/>
          <w:rtl/>
        </w:rPr>
        <w:t>הורים</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מאמצים</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שוני</w:t>
      </w:r>
      <w:r w:rsidRPr="00AE219A">
        <w:rPr>
          <w:rStyle w:val="default"/>
          <w:rFonts w:ascii="FrankRuehl" w:hAnsi="FrankRuehl"/>
          <w:color w:val="000000"/>
          <w:sz w:val="28"/>
          <w:rtl/>
        </w:rPr>
        <w:t xml:space="preserve"> זה, </w:t>
      </w:r>
      <w:r w:rsidRPr="00AE219A">
        <w:rPr>
          <w:rStyle w:val="default"/>
          <w:rFonts w:ascii="FrankRuehl" w:hAnsi="FrankRuehl" w:hint="eastAsia"/>
          <w:color w:val="000000"/>
          <w:sz w:val="28"/>
          <w:rtl/>
        </w:rPr>
        <w:t>הוא</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כשלעצמו</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מאפשר</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אימוץ</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על</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ידי</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בני</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זוג</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מאותו</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מין</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במתכונת</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של</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זה</w:t>
      </w:r>
      <w:r w:rsidRPr="00AE219A">
        <w:rPr>
          <w:rStyle w:val="default"/>
          <w:rFonts w:ascii="FrankRuehl" w:hAnsi="FrankRuehl"/>
          <w:color w:val="000000"/>
          <w:sz w:val="28"/>
          <w:rtl/>
        </w:rPr>
        <w:t xml:space="preserve">-אחר-זה. </w:t>
      </w:r>
      <w:r w:rsidRPr="00AE219A">
        <w:rPr>
          <w:rStyle w:val="default"/>
          <w:rFonts w:ascii="FrankRuehl" w:hAnsi="FrankRuehl" w:hint="eastAsia"/>
          <w:color w:val="000000"/>
          <w:sz w:val="28"/>
          <w:rtl/>
        </w:rPr>
        <w:t>מתכונת</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זו</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ניתנת</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להפעלה</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במסגרתו</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של</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הליך</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משפטי</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אחד</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המשותף</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לשני</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בני</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הזוג</w:t>
      </w:r>
      <w:r w:rsidRPr="00AE219A">
        <w:rPr>
          <w:sz w:val="28"/>
          <w:rtl/>
        </w:rPr>
        <w:t xml:space="preserve">. </w:t>
      </w:r>
    </w:p>
    <w:p w:rsidR="00272E66" w:rsidRDefault="00272E66" w:rsidP="00272E66">
      <w:pPr>
        <w:pStyle w:val="Ruller4"/>
        <w:numPr>
          <w:ilvl w:val="0"/>
          <w:numId w:val="0"/>
        </w:numPr>
      </w:pPr>
    </w:p>
    <w:p w:rsidR="00272E66" w:rsidRDefault="00272E66" w:rsidP="00272E66">
      <w:pPr>
        <w:pStyle w:val="Ruller4"/>
      </w:pPr>
      <w:r>
        <w:rPr>
          <w:rFonts w:hint="cs"/>
          <w:rtl/>
        </w:rPr>
        <w:t xml:space="preserve">שנית, המילים "איש ואשתו", שכאמור מופיעות בסעיף 3 רישא, אינן עומדות לבדן. מילים אלו יש לקרוא יחד עם הוראת סעיף 6 לחוק הפרשנות, התשמ"א-1981 (להלן: </w:t>
      </w:r>
      <w:r w:rsidRPr="00E501BD">
        <w:rPr>
          <w:rFonts w:ascii="Century" w:hAnsi="Century" w:cs="Miriam" w:hint="cs"/>
          <w:b/>
          <w:spacing w:val="0"/>
          <w:sz w:val="22"/>
          <w:szCs w:val="24"/>
          <w:rtl/>
        </w:rPr>
        <w:t>חוק הפרשנות</w:t>
      </w:r>
      <w:r>
        <w:rPr>
          <w:rFonts w:hint="cs"/>
          <w:rtl/>
        </w:rPr>
        <w:t>), אשר קובעת כי "</w:t>
      </w:r>
      <w:r w:rsidRPr="006F75CF">
        <w:rPr>
          <w:rFonts w:hint="eastAsia"/>
          <w:rtl/>
        </w:rPr>
        <w:t>האמור</w:t>
      </w:r>
      <w:r w:rsidRPr="006F75CF">
        <w:rPr>
          <w:rtl/>
        </w:rPr>
        <w:t xml:space="preserve"> </w:t>
      </w:r>
      <w:r w:rsidRPr="006F75CF">
        <w:rPr>
          <w:rFonts w:hint="eastAsia"/>
          <w:rtl/>
        </w:rPr>
        <w:t>בלשון</w:t>
      </w:r>
      <w:r w:rsidRPr="006F75CF">
        <w:rPr>
          <w:rtl/>
        </w:rPr>
        <w:t xml:space="preserve"> </w:t>
      </w:r>
      <w:r w:rsidRPr="006F75CF">
        <w:rPr>
          <w:rFonts w:hint="eastAsia"/>
          <w:rtl/>
        </w:rPr>
        <w:t>זכר</w:t>
      </w:r>
      <w:r w:rsidRPr="006F75CF">
        <w:rPr>
          <w:rtl/>
        </w:rPr>
        <w:t xml:space="preserve"> – </w:t>
      </w:r>
      <w:r w:rsidRPr="006F75CF">
        <w:rPr>
          <w:rFonts w:hint="eastAsia"/>
          <w:rtl/>
        </w:rPr>
        <w:t>אף</w:t>
      </w:r>
      <w:r w:rsidRPr="006F75CF">
        <w:rPr>
          <w:rtl/>
        </w:rPr>
        <w:t xml:space="preserve"> </w:t>
      </w:r>
      <w:r w:rsidRPr="006F75CF">
        <w:rPr>
          <w:rFonts w:hint="eastAsia"/>
          <w:rtl/>
        </w:rPr>
        <w:t>לשון</w:t>
      </w:r>
      <w:r w:rsidRPr="006F75CF">
        <w:rPr>
          <w:rtl/>
        </w:rPr>
        <w:t xml:space="preserve"> </w:t>
      </w:r>
      <w:r w:rsidRPr="006F75CF">
        <w:rPr>
          <w:rFonts w:hint="eastAsia"/>
          <w:rtl/>
        </w:rPr>
        <w:t>נקבה</w:t>
      </w:r>
      <w:r w:rsidRPr="006F75CF">
        <w:rPr>
          <w:rtl/>
        </w:rPr>
        <w:t xml:space="preserve"> </w:t>
      </w:r>
      <w:r w:rsidRPr="006F75CF">
        <w:rPr>
          <w:rFonts w:hint="eastAsia"/>
          <w:rtl/>
        </w:rPr>
        <w:t>במשמע</w:t>
      </w:r>
      <w:r w:rsidRPr="006F75CF">
        <w:rPr>
          <w:rtl/>
        </w:rPr>
        <w:t xml:space="preserve">, </w:t>
      </w:r>
      <w:r w:rsidRPr="006F75CF">
        <w:rPr>
          <w:rFonts w:hint="eastAsia"/>
          <w:rtl/>
        </w:rPr>
        <w:t>וכן</w:t>
      </w:r>
      <w:r w:rsidRPr="006F75CF">
        <w:rPr>
          <w:rtl/>
        </w:rPr>
        <w:t xml:space="preserve"> </w:t>
      </w:r>
      <w:r w:rsidRPr="006F75CF">
        <w:rPr>
          <w:rFonts w:hint="eastAsia"/>
          <w:rtl/>
        </w:rPr>
        <w:t>להיפך</w:t>
      </w:r>
      <w:r>
        <w:rPr>
          <w:rFonts w:hint="cs"/>
          <w:rtl/>
        </w:rPr>
        <w:t>"</w:t>
      </w:r>
      <w:r w:rsidRPr="006F75CF">
        <w:rPr>
          <w:rtl/>
        </w:rPr>
        <w:t>.</w:t>
      </w:r>
      <w:r>
        <w:rPr>
          <w:rFonts w:hint="cs"/>
          <w:rtl/>
        </w:rPr>
        <w:t xml:space="preserve"> ודוק: הגדרה זו אינה כפופה לסייג הפרשני השכיח "באין כוונה אחרת משתמעת", כדוגמת זה שמופיע בסעיפים 16 ו-19 לפקודת הפרשנות [נוסח חדש]. זאת ועוד: סעיף 1 לחוק הפרשנות מורה כי "</w:t>
      </w:r>
      <w:r w:rsidRPr="00E501BD">
        <w:rPr>
          <w:rFonts w:hint="eastAsia"/>
          <w:rtl/>
        </w:rPr>
        <w:t>חוק</w:t>
      </w:r>
      <w:r w:rsidRPr="00E501BD">
        <w:rPr>
          <w:rtl/>
        </w:rPr>
        <w:t xml:space="preserve"> </w:t>
      </w:r>
      <w:r w:rsidRPr="00E501BD">
        <w:rPr>
          <w:rFonts w:hint="eastAsia"/>
          <w:rtl/>
        </w:rPr>
        <w:t>זה</w:t>
      </w:r>
      <w:r w:rsidRPr="00E501BD">
        <w:rPr>
          <w:rtl/>
        </w:rPr>
        <w:t xml:space="preserve"> </w:t>
      </w:r>
      <w:r w:rsidRPr="00E501BD">
        <w:rPr>
          <w:rFonts w:hint="eastAsia"/>
          <w:rtl/>
        </w:rPr>
        <w:t>יחול</w:t>
      </w:r>
      <w:r w:rsidRPr="00E501BD">
        <w:rPr>
          <w:rtl/>
        </w:rPr>
        <w:t xml:space="preserve"> </w:t>
      </w:r>
      <w:r w:rsidRPr="00E501BD">
        <w:rPr>
          <w:rFonts w:hint="eastAsia"/>
          <w:rtl/>
        </w:rPr>
        <w:t>לגבי</w:t>
      </w:r>
      <w:r w:rsidRPr="00E501BD">
        <w:rPr>
          <w:rtl/>
        </w:rPr>
        <w:t xml:space="preserve"> </w:t>
      </w:r>
      <w:r w:rsidRPr="00E501BD">
        <w:rPr>
          <w:rFonts w:hint="eastAsia"/>
          <w:rtl/>
        </w:rPr>
        <w:t>כל</w:t>
      </w:r>
      <w:r w:rsidRPr="00E501BD">
        <w:rPr>
          <w:rtl/>
        </w:rPr>
        <w:t xml:space="preserve"> </w:t>
      </w:r>
      <w:r w:rsidRPr="00E501BD">
        <w:rPr>
          <w:rFonts w:hint="eastAsia"/>
          <w:rtl/>
        </w:rPr>
        <w:t>חיקוק</w:t>
      </w:r>
      <w:r w:rsidRPr="00E501BD">
        <w:rPr>
          <w:rtl/>
        </w:rPr>
        <w:t xml:space="preserve"> </w:t>
      </w:r>
      <w:r w:rsidRPr="00E501BD">
        <w:rPr>
          <w:rFonts w:hint="eastAsia"/>
          <w:rtl/>
        </w:rPr>
        <w:t>והוראת</w:t>
      </w:r>
      <w:r w:rsidRPr="00E501BD">
        <w:rPr>
          <w:rtl/>
        </w:rPr>
        <w:t xml:space="preserve"> </w:t>
      </w:r>
      <w:proofErr w:type="spellStart"/>
      <w:r w:rsidRPr="00E501BD">
        <w:rPr>
          <w:rFonts w:hint="eastAsia"/>
          <w:rtl/>
        </w:rPr>
        <w:t>מינהל</w:t>
      </w:r>
      <w:proofErr w:type="spellEnd"/>
      <w:r w:rsidRPr="00E501BD">
        <w:rPr>
          <w:rtl/>
        </w:rPr>
        <w:t xml:space="preserve">, </w:t>
      </w:r>
      <w:r w:rsidRPr="00E501BD">
        <w:rPr>
          <w:rFonts w:hint="eastAsia"/>
          <w:rtl/>
        </w:rPr>
        <w:t>אף</w:t>
      </w:r>
      <w:r w:rsidRPr="00E501BD">
        <w:rPr>
          <w:rtl/>
        </w:rPr>
        <w:t xml:space="preserve"> </w:t>
      </w:r>
      <w:r w:rsidRPr="00E501BD">
        <w:rPr>
          <w:rFonts w:hint="eastAsia"/>
          <w:rtl/>
        </w:rPr>
        <w:t>אם</w:t>
      </w:r>
      <w:r w:rsidRPr="00E501BD">
        <w:rPr>
          <w:rtl/>
        </w:rPr>
        <w:t xml:space="preserve"> </w:t>
      </w:r>
      <w:r w:rsidRPr="00E501BD">
        <w:rPr>
          <w:rFonts w:hint="eastAsia"/>
          <w:rtl/>
        </w:rPr>
        <w:t>ניתנו</w:t>
      </w:r>
      <w:r w:rsidRPr="00E501BD">
        <w:rPr>
          <w:rtl/>
        </w:rPr>
        <w:t xml:space="preserve"> </w:t>
      </w:r>
      <w:r w:rsidRPr="00E501BD">
        <w:rPr>
          <w:rFonts w:hint="eastAsia"/>
          <w:rtl/>
        </w:rPr>
        <w:t>לפני</w:t>
      </w:r>
      <w:r w:rsidRPr="00E501BD">
        <w:rPr>
          <w:rtl/>
        </w:rPr>
        <w:t xml:space="preserve"> </w:t>
      </w:r>
      <w:r w:rsidRPr="00E501BD">
        <w:rPr>
          <w:rFonts w:hint="eastAsia"/>
          <w:rtl/>
        </w:rPr>
        <w:t>תחילתו</w:t>
      </w:r>
      <w:r w:rsidRPr="00E501BD">
        <w:rPr>
          <w:rtl/>
        </w:rPr>
        <w:t xml:space="preserve">, </w:t>
      </w:r>
      <w:r w:rsidRPr="00E501BD">
        <w:rPr>
          <w:rFonts w:hint="eastAsia"/>
          <w:rtl/>
        </w:rPr>
        <w:t>אם</w:t>
      </w:r>
      <w:r w:rsidRPr="00E501BD">
        <w:rPr>
          <w:rtl/>
        </w:rPr>
        <w:t xml:space="preserve"> </w:t>
      </w:r>
      <w:r w:rsidRPr="00E501BD">
        <w:rPr>
          <w:rFonts w:hint="eastAsia"/>
          <w:rtl/>
        </w:rPr>
        <w:t>אין</w:t>
      </w:r>
      <w:r w:rsidRPr="00E501BD">
        <w:rPr>
          <w:rtl/>
        </w:rPr>
        <w:t xml:space="preserve"> </w:t>
      </w:r>
      <w:r w:rsidRPr="00E501BD">
        <w:rPr>
          <w:rFonts w:hint="eastAsia"/>
          <w:rtl/>
        </w:rPr>
        <w:t>הוראה</w:t>
      </w:r>
      <w:r w:rsidRPr="00E501BD">
        <w:rPr>
          <w:rtl/>
        </w:rPr>
        <w:t xml:space="preserve"> </w:t>
      </w:r>
      <w:r w:rsidRPr="00E501BD">
        <w:rPr>
          <w:rFonts w:hint="eastAsia"/>
          <w:rtl/>
        </w:rPr>
        <w:t>אחרת</w:t>
      </w:r>
      <w:r w:rsidRPr="00E501BD">
        <w:rPr>
          <w:rtl/>
        </w:rPr>
        <w:t xml:space="preserve"> </w:t>
      </w:r>
      <w:proofErr w:type="spellStart"/>
      <w:r w:rsidRPr="00E501BD">
        <w:rPr>
          <w:rFonts w:hint="eastAsia"/>
          <w:rtl/>
        </w:rPr>
        <w:t>לענין</w:t>
      </w:r>
      <w:proofErr w:type="spellEnd"/>
      <w:r w:rsidRPr="00E501BD">
        <w:rPr>
          <w:rtl/>
        </w:rPr>
        <w:t xml:space="preserve"> </w:t>
      </w:r>
      <w:r w:rsidRPr="00E501BD">
        <w:rPr>
          <w:rFonts w:hint="eastAsia"/>
          <w:rtl/>
        </w:rPr>
        <w:t>הנדון</w:t>
      </w:r>
      <w:r w:rsidRPr="00E501BD">
        <w:rPr>
          <w:rtl/>
        </w:rPr>
        <w:t xml:space="preserve"> </w:t>
      </w:r>
      <w:r w:rsidRPr="00E501BD">
        <w:rPr>
          <w:rFonts w:hint="eastAsia"/>
          <w:rtl/>
        </w:rPr>
        <w:t>ואם</w:t>
      </w:r>
      <w:r w:rsidRPr="00E501BD">
        <w:rPr>
          <w:rtl/>
        </w:rPr>
        <w:t xml:space="preserve"> </w:t>
      </w:r>
      <w:r w:rsidRPr="00E501BD">
        <w:rPr>
          <w:rFonts w:hint="eastAsia"/>
          <w:rtl/>
        </w:rPr>
        <w:t>אין</w:t>
      </w:r>
      <w:r w:rsidRPr="00E501BD">
        <w:rPr>
          <w:rtl/>
        </w:rPr>
        <w:t xml:space="preserve"> </w:t>
      </w:r>
      <w:proofErr w:type="spellStart"/>
      <w:r w:rsidRPr="00E501BD">
        <w:rPr>
          <w:rFonts w:hint="eastAsia"/>
          <w:rtl/>
        </w:rPr>
        <w:t>בענין</w:t>
      </w:r>
      <w:proofErr w:type="spellEnd"/>
      <w:r w:rsidRPr="00E501BD">
        <w:rPr>
          <w:rtl/>
        </w:rPr>
        <w:t xml:space="preserve"> </w:t>
      </w:r>
      <w:r w:rsidRPr="00E501BD">
        <w:rPr>
          <w:rFonts w:hint="eastAsia"/>
          <w:rtl/>
        </w:rPr>
        <w:t>הנדון</w:t>
      </w:r>
      <w:r w:rsidRPr="00E501BD">
        <w:rPr>
          <w:rtl/>
        </w:rPr>
        <w:t xml:space="preserve"> </w:t>
      </w:r>
      <w:r w:rsidRPr="00E501BD">
        <w:rPr>
          <w:rFonts w:hint="eastAsia"/>
          <w:rtl/>
        </w:rPr>
        <w:t>או</w:t>
      </w:r>
      <w:r w:rsidRPr="00E501BD">
        <w:rPr>
          <w:rtl/>
        </w:rPr>
        <w:t xml:space="preserve"> </w:t>
      </w:r>
      <w:r w:rsidRPr="00E501BD">
        <w:rPr>
          <w:rFonts w:hint="eastAsia"/>
          <w:rtl/>
        </w:rPr>
        <w:t>בהקשרו</w:t>
      </w:r>
      <w:r w:rsidRPr="00E501BD">
        <w:rPr>
          <w:rtl/>
        </w:rPr>
        <w:t xml:space="preserve"> </w:t>
      </w:r>
      <w:r w:rsidRPr="00E501BD">
        <w:rPr>
          <w:rFonts w:hint="eastAsia"/>
          <w:rtl/>
        </w:rPr>
        <w:t>דבר</w:t>
      </w:r>
      <w:r w:rsidRPr="00E501BD">
        <w:rPr>
          <w:rtl/>
        </w:rPr>
        <w:t xml:space="preserve"> </w:t>
      </w:r>
      <w:r w:rsidRPr="00E501BD">
        <w:rPr>
          <w:rFonts w:hint="eastAsia"/>
          <w:rtl/>
        </w:rPr>
        <w:t>שאינו</w:t>
      </w:r>
      <w:r w:rsidRPr="00E501BD">
        <w:rPr>
          <w:rtl/>
        </w:rPr>
        <w:t xml:space="preserve"> </w:t>
      </w:r>
      <w:r w:rsidRPr="00E501BD">
        <w:rPr>
          <w:rFonts w:hint="eastAsia"/>
          <w:rtl/>
        </w:rPr>
        <w:t>מתיישב</w:t>
      </w:r>
      <w:r w:rsidRPr="00E501BD">
        <w:rPr>
          <w:rtl/>
        </w:rPr>
        <w:t xml:space="preserve"> </w:t>
      </w:r>
      <w:r w:rsidRPr="00E501BD">
        <w:rPr>
          <w:rFonts w:hint="eastAsia"/>
          <w:rtl/>
        </w:rPr>
        <w:t>עם</w:t>
      </w:r>
      <w:r w:rsidRPr="00E501BD">
        <w:rPr>
          <w:rtl/>
        </w:rPr>
        <w:t xml:space="preserve"> </w:t>
      </w:r>
      <w:r w:rsidRPr="00E501BD">
        <w:rPr>
          <w:rFonts w:hint="eastAsia"/>
          <w:rtl/>
        </w:rPr>
        <w:t>חוק</w:t>
      </w:r>
      <w:r w:rsidRPr="00E501BD">
        <w:rPr>
          <w:rtl/>
        </w:rPr>
        <w:t xml:space="preserve"> </w:t>
      </w:r>
      <w:r w:rsidRPr="00E501BD">
        <w:rPr>
          <w:rFonts w:hint="eastAsia"/>
          <w:rtl/>
        </w:rPr>
        <w:t>זה</w:t>
      </w:r>
      <w:r>
        <w:rPr>
          <w:rFonts w:hint="cs"/>
          <w:rtl/>
        </w:rPr>
        <w:t xml:space="preserve">". בהיעדר החרגה </w:t>
      </w:r>
      <w:r>
        <w:rPr>
          <w:rFonts w:ascii="Century" w:hAnsi="Century" w:cs="Miriam" w:hint="cs"/>
          <w:b/>
          <w:spacing w:val="0"/>
          <w:sz w:val="22"/>
          <w:szCs w:val="24"/>
          <w:rtl/>
        </w:rPr>
        <w:t>מפו</w:t>
      </w:r>
      <w:r w:rsidRPr="00E501BD">
        <w:rPr>
          <w:rFonts w:ascii="Century" w:hAnsi="Century" w:cs="Miriam" w:hint="cs"/>
          <w:b/>
          <w:spacing w:val="0"/>
          <w:sz w:val="22"/>
          <w:szCs w:val="24"/>
          <w:rtl/>
        </w:rPr>
        <w:t>ר</w:t>
      </w:r>
      <w:r>
        <w:rPr>
          <w:rFonts w:ascii="Century" w:hAnsi="Century" w:cs="Miriam" w:hint="cs"/>
          <w:b/>
          <w:spacing w:val="0"/>
          <w:sz w:val="22"/>
          <w:szCs w:val="24"/>
          <w:rtl/>
        </w:rPr>
        <w:t>ש</w:t>
      </w:r>
      <w:r w:rsidRPr="00E501BD">
        <w:rPr>
          <w:rFonts w:ascii="Century" w:hAnsi="Century" w:cs="Miriam" w:hint="cs"/>
          <w:b/>
          <w:spacing w:val="0"/>
          <w:sz w:val="22"/>
          <w:szCs w:val="24"/>
          <w:rtl/>
        </w:rPr>
        <w:t>ת</w:t>
      </w:r>
      <w:r>
        <w:rPr>
          <w:rFonts w:hint="cs"/>
          <w:rtl/>
        </w:rPr>
        <w:t xml:space="preserve"> של בני זוג מאותו מין ממעגל ההורים המאמצים, ונוכח </w:t>
      </w:r>
      <w:r w:rsidRPr="00AE219A">
        <w:rPr>
          <w:rFonts w:hint="eastAsia"/>
          <w:sz w:val="28"/>
          <w:rtl/>
        </w:rPr>
        <w:t>האפשרות</w:t>
      </w:r>
      <w:r w:rsidRPr="00AE219A">
        <w:rPr>
          <w:sz w:val="28"/>
          <w:rtl/>
        </w:rPr>
        <w:t xml:space="preserve"> </w:t>
      </w:r>
      <w:r w:rsidRPr="00AE219A">
        <w:rPr>
          <w:rFonts w:hint="eastAsia"/>
          <w:sz w:val="28"/>
          <w:rtl/>
        </w:rPr>
        <w:t>של</w:t>
      </w:r>
      <w:r w:rsidRPr="00AE219A">
        <w:rPr>
          <w:sz w:val="28"/>
          <w:rtl/>
        </w:rPr>
        <w:t xml:space="preserve"> </w:t>
      </w:r>
      <w:r w:rsidRPr="00AE219A">
        <w:rPr>
          <w:rStyle w:val="default"/>
          <w:rFonts w:ascii="FrankRuehl" w:hAnsi="FrankRuehl" w:hint="eastAsia"/>
          <w:color w:val="000000"/>
          <w:sz w:val="28"/>
          <w:rtl/>
        </w:rPr>
        <w:t>אימוץ</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על</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ידי</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בני</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זוג</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מאותו</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מין</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במתכונת</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של</w:t>
      </w:r>
      <w:r w:rsidRPr="00AE219A">
        <w:rPr>
          <w:rStyle w:val="default"/>
          <w:rFonts w:ascii="FrankRuehl" w:hAnsi="FrankRuehl"/>
          <w:color w:val="000000"/>
          <w:sz w:val="28"/>
          <w:rtl/>
        </w:rPr>
        <w:t xml:space="preserve"> </w:t>
      </w:r>
      <w:r w:rsidRPr="00AE219A">
        <w:rPr>
          <w:rStyle w:val="default"/>
          <w:rFonts w:ascii="FrankRuehl" w:hAnsi="FrankRuehl" w:hint="eastAsia"/>
          <w:color w:val="000000"/>
          <w:sz w:val="28"/>
          <w:rtl/>
        </w:rPr>
        <w:t>זה</w:t>
      </w:r>
      <w:r w:rsidRPr="00AE219A">
        <w:rPr>
          <w:rStyle w:val="default"/>
          <w:rFonts w:ascii="FrankRuehl" w:hAnsi="FrankRuehl"/>
          <w:color w:val="000000"/>
          <w:sz w:val="28"/>
          <w:rtl/>
        </w:rPr>
        <w:t>-אחר-זה</w:t>
      </w:r>
      <w:r w:rsidRPr="00AE219A">
        <w:rPr>
          <w:sz w:val="28"/>
          <w:rtl/>
        </w:rPr>
        <w:t xml:space="preserve"> – </w:t>
      </w:r>
      <w:r w:rsidRPr="00AE219A">
        <w:rPr>
          <w:rFonts w:hint="eastAsia"/>
          <w:sz w:val="28"/>
          <w:rtl/>
        </w:rPr>
        <w:t>סבורני</w:t>
      </w:r>
      <w:r w:rsidRPr="00AE219A">
        <w:rPr>
          <w:sz w:val="28"/>
          <w:rtl/>
        </w:rPr>
        <w:t xml:space="preserve"> </w:t>
      </w:r>
      <w:r w:rsidRPr="00AE219A">
        <w:rPr>
          <w:rFonts w:hint="eastAsia"/>
          <w:sz w:val="28"/>
          <w:rtl/>
        </w:rPr>
        <w:t>כי</w:t>
      </w:r>
      <w:r w:rsidRPr="00AE219A">
        <w:rPr>
          <w:sz w:val="28"/>
          <w:rtl/>
        </w:rPr>
        <w:t xml:space="preserve"> </w:t>
      </w:r>
      <w:r w:rsidRPr="00AE219A">
        <w:rPr>
          <w:rFonts w:hint="eastAsia"/>
          <w:sz w:val="28"/>
          <w:rtl/>
        </w:rPr>
        <w:t>נכון</w:t>
      </w:r>
      <w:r w:rsidRPr="00AE219A">
        <w:rPr>
          <w:sz w:val="28"/>
          <w:rtl/>
        </w:rPr>
        <w:t xml:space="preserve"> </w:t>
      </w:r>
      <w:r w:rsidRPr="00AE219A">
        <w:rPr>
          <w:rFonts w:hint="eastAsia"/>
          <w:sz w:val="28"/>
          <w:rtl/>
        </w:rPr>
        <w:t>נעשה</w:t>
      </w:r>
      <w:r w:rsidRPr="00AE219A">
        <w:rPr>
          <w:sz w:val="28"/>
          <w:rtl/>
        </w:rPr>
        <w:t xml:space="preserve"> </w:t>
      </w:r>
      <w:r w:rsidRPr="00AE219A">
        <w:rPr>
          <w:rFonts w:hint="eastAsia"/>
          <w:sz w:val="28"/>
          <w:rtl/>
        </w:rPr>
        <w:t>אם</w:t>
      </w:r>
      <w:r w:rsidRPr="00AE219A">
        <w:rPr>
          <w:sz w:val="28"/>
          <w:rtl/>
        </w:rPr>
        <w:t xml:space="preserve"> </w:t>
      </w:r>
      <w:r w:rsidRPr="00AE219A">
        <w:rPr>
          <w:rFonts w:hint="eastAsia"/>
          <w:sz w:val="28"/>
          <w:rtl/>
        </w:rPr>
        <w:t>נפרש</w:t>
      </w:r>
      <w:r w:rsidRPr="00AE219A">
        <w:rPr>
          <w:sz w:val="28"/>
          <w:rtl/>
        </w:rPr>
        <w:t xml:space="preserve"> </w:t>
      </w:r>
      <w:r w:rsidRPr="00AE219A">
        <w:rPr>
          <w:rFonts w:hint="eastAsia"/>
          <w:sz w:val="28"/>
          <w:rtl/>
        </w:rPr>
        <w:t>א</w:t>
      </w:r>
      <w:r>
        <w:rPr>
          <w:rFonts w:hint="cs"/>
          <w:rtl/>
        </w:rPr>
        <w:t xml:space="preserve">ת המילים "איש ואשתו", בהתאם לאמור בסעיף 6 לחוק הפרשנות, כזוג שיכול להיות מורכב מגבר ואישה, משתי נשים או משני גברים. הווה אומר: עיקר העיקרים הוא שילדים בני אימוץ יאומצו אל תוך </w:t>
      </w:r>
      <w:r w:rsidRPr="00564A64">
        <w:rPr>
          <w:rFonts w:ascii="Century" w:hAnsi="Century" w:cs="Miriam" w:hint="cs"/>
          <w:b/>
          <w:spacing w:val="0"/>
          <w:sz w:val="22"/>
          <w:szCs w:val="24"/>
          <w:rtl/>
        </w:rPr>
        <w:t>מערכת זוגית מוכרת</w:t>
      </w:r>
      <w:r>
        <w:rPr>
          <w:rFonts w:hint="cs"/>
          <w:rtl/>
        </w:rPr>
        <w:t xml:space="preserve"> כלשהי שבבסיסה קשר נישואין או מסגרת של "ידועים בציבור כנשואים" </w:t>
      </w:r>
      <w:r>
        <w:rPr>
          <w:rtl/>
        </w:rPr>
        <w:t>–</w:t>
      </w:r>
      <w:r>
        <w:rPr>
          <w:rFonts w:hint="cs"/>
          <w:rtl/>
        </w:rPr>
        <w:t xml:space="preserve"> זאת, כאשר הכלל המנחה הוא זה של טובת הילד המאומץ, כאמור בפסק דינו של חברי, ממלא מקום הנשיא. </w:t>
      </w:r>
    </w:p>
    <w:p w:rsidR="00272E66" w:rsidRDefault="00272E66" w:rsidP="00272E66">
      <w:pPr>
        <w:pStyle w:val="Ruller4"/>
        <w:numPr>
          <w:ilvl w:val="0"/>
          <w:numId w:val="0"/>
        </w:numPr>
      </w:pPr>
    </w:p>
    <w:p w:rsidR="00272E66" w:rsidRPr="00685E37" w:rsidRDefault="00272E66" w:rsidP="00272E66">
      <w:pPr>
        <w:pStyle w:val="Ruller4"/>
      </w:pPr>
      <w:r>
        <w:rPr>
          <w:rFonts w:hint="cs"/>
          <w:rtl/>
        </w:rPr>
        <w:t xml:space="preserve">במילים אחרות: הביטוי "איש ואשתו", שמופיע בחוק האימוץ, נועד לשרת את מטרותיו של אימוץ ילדים במשך שנים ארוכות. בתור שכזה, הוא מפנה למערכת זוגית מקובלת ומוכרת בזמן האימוץ </w:t>
      </w:r>
      <w:r>
        <w:rPr>
          <w:rtl/>
        </w:rPr>
        <w:t>–</w:t>
      </w:r>
      <w:r>
        <w:rPr>
          <w:rFonts w:hint="cs"/>
          <w:rtl/>
        </w:rPr>
        <w:t xml:space="preserve"> זאת, גם אם מערכת זו לא זכתה להכרה בזמן חקיקתו של החוק ואף לא נצפתה על ידי המחוקק באותה נקודת זמן. ביטויים כלליים כגון זה יש לפרש בהתאם למשמעותם הפומבית והמקובלת </w:t>
      </w:r>
      <w:r w:rsidRPr="00FB34C6">
        <w:rPr>
          <w:rFonts w:ascii="Century" w:hAnsi="Century" w:cs="Miriam" w:hint="cs"/>
          <w:b/>
          <w:spacing w:val="0"/>
          <w:sz w:val="22"/>
          <w:szCs w:val="24"/>
          <w:rtl/>
        </w:rPr>
        <w:t>בזמן יישומם</w:t>
      </w:r>
      <w:r>
        <w:rPr>
          <w:rFonts w:hint="cs"/>
          <w:rtl/>
        </w:rPr>
        <w:t xml:space="preserve"> </w:t>
      </w:r>
      <w:r>
        <w:rPr>
          <w:rtl/>
        </w:rPr>
        <w:t>–</w:t>
      </w:r>
      <w:r>
        <w:rPr>
          <w:rFonts w:hint="cs"/>
          <w:rtl/>
        </w:rPr>
        <w:t xml:space="preserve"> לשם כך הם נועדו מעיקרם (ראו: </w:t>
      </w:r>
      <w:r w:rsidRPr="00FB34C6">
        <w:rPr>
          <w:rFonts w:asciiTheme="majorBidi" w:hAnsiTheme="majorBidi" w:cstheme="majorBidi"/>
        </w:rPr>
        <w:t xml:space="preserve">Alex Stein, </w:t>
      </w:r>
      <w:r w:rsidRPr="00FB34C6">
        <w:rPr>
          <w:rFonts w:asciiTheme="majorBidi" w:hAnsiTheme="majorBidi" w:cstheme="majorBidi"/>
          <w:i/>
          <w:iCs/>
        </w:rPr>
        <w:t>Probabilism in Legal Interpretation</w:t>
      </w:r>
      <w:r w:rsidRPr="00FB34C6">
        <w:rPr>
          <w:rFonts w:asciiTheme="majorBidi" w:hAnsiTheme="majorBidi" w:cstheme="majorBidi"/>
        </w:rPr>
        <w:t xml:space="preserve">, 107 </w:t>
      </w:r>
      <w:r w:rsidRPr="00FB34C6">
        <w:rPr>
          <w:rFonts w:asciiTheme="majorBidi" w:hAnsiTheme="majorBidi" w:cstheme="majorBidi"/>
          <w:smallCaps/>
        </w:rPr>
        <w:t>Iowa L. Rev.</w:t>
      </w:r>
      <w:r w:rsidRPr="00FB34C6">
        <w:rPr>
          <w:rFonts w:asciiTheme="majorBidi" w:hAnsiTheme="majorBidi" w:cstheme="majorBidi"/>
        </w:rPr>
        <w:t xml:space="preserve"> 1389, 1428 (2022)</w:t>
      </w:r>
      <w:r>
        <w:rPr>
          <w:rFonts w:hint="cs"/>
          <w:rtl/>
        </w:rPr>
        <w:t>).</w:t>
      </w:r>
      <w:r w:rsidRPr="00685E37">
        <w:rPr>
          <w:rtl/>
        </w:rPr>
        <w:t xml:space="preserve"> </w:t>
      </w:r>
    </w:p>
    <w:p w:rsidR="00272E66" w:rsidRPr="002835AD" w:rsidRDefault="00272E66" w:rsidP="00272E66">
      <w:pPr>
        <w:pStyle w:val="Ruller4"/>
        <w:numPr>
          <w:ilvl w:val="0"/>
          <w:numId w:val="0"/>
        </w:numPr>
      </w:pPr>
    </w:p>
    <w:p w:rsidR="00272E66" w:rsidRDefault="00272E66" w:rsidP="00272E66">
      <w:pPr>
        <w:pStyle w:val="Ruller4"/>
        <w:rPr>
          <w:rtl/>
        </w:rPr>
      </w:pPr>
      <w:r>
        <w:rPr>
          <w:rFonts w:hint="cs"/>
          <w:rtl/>
        </w:rPr>
        <w:t xml:space="preserve">תוצאה פרשנית זו מקבלת תמיכה מעיקרון הניטרליות אשר מגדיר את תפקידי המדינה בחברה של אזרחים בני חורין. עיקרון זה קובע כי המדינה אמורה להיות ניטרלית ביחסה אל דפוסי הזוגיות והמשפחה שאזרחיה הבוגרים בוחרים בעבור עצמם, ואל לה להכתיב לאזרחיה דפוס מונוליטי אחד של זוגיות ומשפחה. כפי שלימדנו הפילוסוף ג' </w:t>
      </w:r>
      <w:proofErr w:type="spellStart"/>
      <w:r>
        <w:rPr>
          <w:rFonts w:hint="cs"/>
          <w:rtl/>
        </w:rPr>
        <w:t>רולס</w:t>
      </w:r>
      <w:proofErr w:type="spellEnd"/>
      <w:r>
        <w:rPr>
          <w:rFonts w:hint="cs"/>
          <w:rtl/>
        </w:rPr>
        <w:t>,</w:t>
      </w:r>
    </w:p>
    <w:p w:rsidR="00272E66" w:rsidRPr="006F369D" w:rsidRDefault="00272E66" w:rsidP="00272E66">
      <w:pPr>
        <w:pStyle w:val="Ruller5"/>
        <w:bidi w:val="0"/>
        <w:rPr>
          <w:rFonts w:asciiTheme="majorBidi" w:hAnsiTheme="majorBidi" w:cstheme="majorBidi"/>
          <w:sz w:val="24"/>
          <w:szCs w:val="24"/>
        </w:rPr>
      </w:pPr>
      <w:r w:rsidRPr="006F369D">
        <w:rPr>
          <w:rFonts w:asciiTheme="majorBidi" w:hAnsiTheme="majorBidi" w:cstheme="majorBidi"/>
          <w:sz w:val="24"/>
          <w:szCs w:val="24"/>
        </w:rPr>
        <w:t>"A very different way of defining neutrality is in terms of the aims of basic institutions and public policy with respect to comprehensive doctrines and their associated conceptions of the good. Here neutrality of aim […] means that those institutions and policies are neutral in the sense that they can be endorsed by citizens generally as within the scope of a public political conception. Thus, neutrality might mean, for example, (1) that the state is to ensure for all citizens equal opportunity to advance any conception of the good that they freely affirm; (2) that the state is not to do anything intended to favor or promote any particular comprehensive doctrine rather than another, or to give greater assistance to those who pursue it; (3) that the state is not to do anything that makes it more likely that individuals will accept any particular conception rather than another unless steps are taken to cancel, or to compensate for, the effect of policies that do this"</w:t>
      </w:r>
      <w:r>
        <w:rPr>
          <w:rFonts w:asciiTheme="majorBidi" w:hAnsiTheme="majorBidi" w:cstheme="majorBidi"/>
          <w:sz w:val="24"/>
          <w:szCs w:val="24"/>
        </w:rPr>
        <w:t>.</w:t>
      </w:r>
    </w:p>
    <w:p w:rsidR="00272E66" w:rsidRPr="006F369D" w:rsidRDefault="00272E66" w:rsidP="00272E66">
      <w:pPr>
        <w:pStyle w:val="Ruller5"/>
        <w:bidi w:val="0"/>
        <w:rPr>
          <w:rFonts w:asciiTheme="majorBidi" w:hAnsiTheme="majorBidi" w:cstheme="majorBidi"/>
          <w:sz w:val="24"/>
          <w:szCs w:val="24"/>
        </w:rPr>
      </w:pPr>
    </w:p>
    <w:p w:rsidR="00272E66" w:rsidRPr="006F369D" w:rsidRDefault="00272E66" w:rsidP="00272E66">
      <w:pPr>
        <w:pStyle w:val="Ruller5"/>
        <w:bidi w:val="0"/>
        <w:rPr>
          <w:rFonts w:asciiTheme="majorBidi" w:hAnsiTheme="majorBidi" w:cstheme="majorBidi"/>
          <w:sz w:val="24"/>
          <w:szCs w:val="24"/>
        </w:rPr>
      </w:pPr>
      <w:r w:rsidRPr="006F369D">
        <w:rPr>
          <w:rFonts w:asciiTheme="majorBidi" w:hAnsiTheme="majorBidi" w:cstheme="majorBidi"/>
          <w:sz w:val="24"/>
          <w:szCs w:val="24"/>
        </w:rPr>
        <w:t xml:space="preserve">John Rawls, </w:t>
      </w:r>
      <w:r w:rsidRPr="006F369D">
        <w:rPr>
          <w:rFonts w:asciiTheme="majorBidi" w:hAnsiTheme="majorBidi" w:cstheme="majorBidi"/>
          <w:i/>
          <w:iCs/>
          <w:sz w:val="24"/>
          <w:szCs w:val="24"/>
        </w:rPr>
        <w:t>The Priority of Right and Ideas of the Good</w:t>
      </w:r>
      <w:r w:rsidRPr="006F369D">
        <w:rPr>
          <w:rFonts w:asciiTheme="majorBidi" w:hAnsiTheme="majorBidi" w:cstheme="majorBidi"/>
          <w:sz w:val="24"/>
          <w:szCs w:val="24"/>
        </w:rPr>
        <w:t xml:space="preserve">, </w:t>
      </w:r>
      <w:r w:rsidRPr="00AE219A">
        <w:rPr>
          <w:rFonts w:asciiTheme="majorBidi" w:hAnsiTheme="majorBidi" w:cstheme="majorBidi"/>
          <w:i/>
          <w:iCs/>
          <w:sz w:val="24"/>
          <w:szCs w:val="24"/>
        </w:rPr>
        <w:t>in</w:t>
      </w:r>
      <w:r w:rsidRPr="006F369D">
        <w:rPr>
          <w:rFonts w:asciiTheme="majorBidi" w:hAnsiTheme="majorBidi" w:cstheme="majorBidi"/>
          <w:sz w:val="24"/>
          <w:szCs w:val="24"/>
        </w:rPr>
        <w:t xml:space="preserve"> </w:t>
      </w:r>
      <w:r w:rsidRPr="006F369D">
        <w:rPr>
          <w:rFonts w:asciiTheme="majorBidi" w:hAnsiTheme="majorBidi" w:cstheme="majorBidi"/>
          <w:smallCaps/>
          <w:sz w:val="24"/>
          <w:szCs w:val="24"/>
        </w:rPr>
        <w:t>John Rawls, Collected Essays</w:t>
      </w:r>
      <w:r w:rsidRPr="006F369D">
        <w:rPr>
          <w:rFonts w:asciiTheme="majorBidi" w:hAnsiTheme="majorBidi" w:cstheme="majorBidi"/>
          <w:sz w:val="24"/>
          <w:szCs w:val="24"/>
        </w:rPr>
        <w:t xml:space="preserve"> 449, 459 (Samuel Freeman, ed., 1999).</w:t>
      </w:r>
    </w:p>
    <w:p w:rsidR="00272E66" w:rsidRDefault="00272E66" w:rsidP="00272E66">
      <w:pPr>
        <w:pStyle w:val="Ruller41"/>
        <w:bidi w:val="0"/>
      </w:pPr>
    </w:p>
    <w:p w:rsidR="00272E66" w:rsidRDefault="00272E66" w:rsidP="00272E66">
      <w:pPr>
        <w:pStyle w:val="Ruller41"/>
        <w:rPr>
          <w:rtl/>
        </w:rPr>
      </w:pPr>
      <w:r>
        <w:rPr>
          <w:rtl/>
        </w:rPr>
        <w:tab/>
      </w:r>
      <w:r>
        <w:rPr>
          <w:rFonts w:hint="cs"/>
          <w:rtl/>
        </w:rPr>
        <w:t xml:space="preserve">ראו גם: </w:t>
      </w:r>
      <w:r w:rsidRPr="006F369D">
        <w:rPr>
          <w:rFonts w:asciiTheme="majorBidi" w:hAnsiTheme="majorBidi" w:cstheme="majorBidi"/>
          <w:smallCaps/>
          <w:sz w:val="24"/>
          <w:szCs w:val="24"/>
        </w:rPr>
        <w:t>Joseph Raz, The Morality of Freedom</w:t>
      </w:r>
      <w:r w:rsidRPr="006F369D">
        <w:rPr>
          <w:rFonts w:asciiTheme="majorBidi" w:hAnsiTheme="majorBidi" w:cstheme="majorBidi"/>
          <w:sz w:val="24"/>
          <w:szCs w:val="24"/>
        </w:rPr>
        <w:t xml:space="preserve"> 114-115 (1986)</w:t>
      </w:r>
      <w:r>
        <w:rPr>
          <w:rFonts w:hint="cs"/>
          <w:rtl/>
        </w:rPr>
        <w:t xml:space="preserve">; וכן </w:t>
      </w:r>
      <w:r w:rsidRPr="006F369D">
        <w:rPr>
          <w:rFonts w:asciiTheme="majorBidi" w:hAnsiTheme="majorBidi" w:cstheme="majorBidi"/>
          <w:sz w:val="24"/>
          <w:szCs w:val="24"/>
        </w:rPr>
        <w:t xml:space="preserve">Carlos A. Ball, </w:t>
      </w:r>
      <w:r w:rsidRPr="00AE219A">
        <w:rPr>
          <w:rFonts w:asciiTheme="majorBidi" w:hAnsiTheme="majorBidi" w:cstheme="majorBidi"/>
          <w:i/>
          <w:iCs/>
          <w:sz w:val="24"/>
          <w:szCs w:val="24"/>
        </w:rPr>
        <w:t>Moral Foundations for a Discourse on Same-Sex Marriage: Looking Beyond Political Liberalism</w:t>
      </w:r>
      <w:r w:rsidRPr="006F369D">
        <w:rPr>
          <w:rFonts w:asciiTheme="majorBidi" w:hAnsiTheme="majorBidi" w:cstheme="majorBidi"/>
          <w:sz w:val="24"/>
          <w:szCs w:val="24"/>
        </w:rPr>
        <w:t xml:space="preserve">, 85 </w:t>
      </w:r>
      <w:r w:rsidRPr="006F369D">
        <w:rPr>
          <w:rFonts w:asciiTheme="majorBidi" w:hAnsiTheme="majorBidi" w:cstheme="majorBidi"/>
          <w:smallCaps/>
          <w:sz w:val="24"/>
          <w:szCs w:val="24"/>
        </w:rPr>
        <w:t>Geo. L.J.</w:t>
      </w:r>
      <w:r w:rsidRPr="006F369D">
        <w:rPr>
          <w:rFonts w:asciiTheme="majorBidi" w:hAnsiTheme="majorBidi" w:cstheme="majorBidi"/>
          <w:sz w:val="24"/>
          <w:szCs w:val="24"/>
        </w:rPr>
        <w:t xml:space="preserve"> 1871, 1883 (1997) </w:t>
      </w:r>
      <w:r>
        <w:rPr>
          <w:rFonts w:asciiTheme="majorBidi" w:hAnsiTheme="majorBidi" w:cstheme="majorBidi" w:hint="cs"/>
          <w:sz w:val="24"/>
          <w:szCs w:val="24"/>
          <w:rtl/>
        </w:rPr>
        <w:t>(</w:t>
      </w:r>
      <w:r w:rsidRPr="006F369D">
        <w:rPr>
          <w:rFonts w:asciiTheme="majorBidi" w:hAnsiTheme="majorBidi" w:cstheme="majorBidi"/>
          <w:sz w:val="24"/>
          <w:szCs w:val="24"/>
        </w:rPr>
        <w:t>"Liberalism, with its respect for equality, toleration, and state-neutrality, has become the predominant theory of political morality of our time. A central component of contemporary liberalism has been to call for a moral bracketing in matters of public reasoning; namely, for a strict separation between the differing conceptions of the good held by individuals and the broader political discourse that seeks to define individual rights and formulate public policy"</w:t>
      </w:r>
      <w:r>
        <w:rPr>
          <w:rFonts w:asciiTheme="majorBidi" w:hAnsiTheme="majorBidi" w:cstheme="majorBidi" w:hint="cs"/>
          <w:sz w:val="24"/>
          <w:szCs w:val="24"/>
          <w:rtl/>
        </w:rPr>
        <w:t>)</w:t>
      </w:r>
      <w:r>
        <w:rPr>
          <w:rFonts w:hint="cs"/>
          <w:rtl/>
        </w:rPr>
        <w:t xml:space="preserve">. </w:t>
      </w:r>
    </w:p>
    <w:p w:rsidR="00272E66" w:rsidRDefault="00272E66" w:rsidP="00272E66">
      <w:pPr>
        <w:pStyle w:val="Ruller41"/>
      </w:pPr>
    </w:p>
    <w:p w:rsidR="00272E66" w:rsidRDefault="00272E66" w:rsidP="00272E66">
      <w:pPr>
        <w:pStyle w:val="Ruller4"/>
        <w:rPr>
          <w:rtl/>
        </w:rPr>
      </w:pPr>
      <w:r>
        <w:rPr>
          <w:rFonts w:hint="cs"/>
          <w:rtl/>
        </w:rPr>
        <w:lastRenderedPageBreak/>
        <w:t xml:space="preserve">עיקרון זה, לצד הכלל הטכני שבסעיף 6 לחוק הפרשנות, קובע את תוצאת הדיון בעתירה: לעניין אימוץ ילדים, זוגות מאותו מין וזוגות הטרוסקסואליים </w:t>
      </w:r>
      <w:r>
        <w:rPr>
          <w:rtl/>
        </w:rPr>
        <w:t>–</w:t>
      </w:r>
      <w:r>
        <w:rPr>
          <w:rFonts w:hint="cs"/>
          <w:rtl/>
        </w:rPr>
        <w:t xml:space="preserve"> חד הם. כל הזוגות הללו רשאים לאמץ ילד או ילדה בכפוף לכלל הגדול של טובת המאומץ.</w:t>
      </w:r>
    </w:p>
    <w:p w:rsidR="00272E66" w:rsidRDefault="00272E66" w:rsidP="00272E66">
      <w:pPr>
        <w:pStyle w:val="Ruller41"/>
        <w:rPr>
          <w:rtl/>
        </w:rPr>
      </w:pPr>
    </w:p>
    <w:tbl>
      <w:tblPr>
        <w:bidiVisual/>
        <w:tblW w:w="8363" w:type="dxa"/>
        <w:tblLook w:val="01E0" w:firstRow="1" w:lastRow="1" w:firstColumn="1" w:lastColumn="1" w:noHBand="0" w:noVBand="0"/>
      </w:tblPr>
      <w:tblGrid>
        <w:gridCol w:w="2783"/>
        <w:gridCol w:w="2797"/>
        <w:gridCol w:w="2783"/>
      </w:tblGrid>
      <w:tr w:rsidR="00272E66" w:rsidRPr="00267280" w:rsidTr="00332182">
        <w:tc>
          <w:tcPr>
            <w:tcW w:w="2783" w:type="dxa"/>
            <w:shd w:val="clear" w:color="auto" w:fill="auto"/>
          </w:tcPr>
          <w:p w:rsidR="00272E66" w:rsidRPr="00267280" w:rsidRDefault="00272E66" w:rsidP="00332182">
            <w:pPr>
              <w:pStyle w:val="Ruller41"/>
              <w:jc w:val="center"/>
              <w:rPr>
                <w:rtl/>
              </w:rPr>
            </w:pPr>
          </w:p>
        </w:tc>
        <w:tc>
          <w:tcPr>
            <w:tcW w:w="2797" w:type="dxa"/>
            <w:shd w:val="clear" w:color="auto" w:fill="auto"/>
          </w:tcPr>
          <w:p w:rsidR="00272E66" w:rsidRPr="00267280" w:rsidRDefault="00272E66" w:rsidP="00332182">
            <w:pPr>
              <w:pStyle w:val="Ruller41"/>
              <w:jc w:val="center"/>
              <w:rPr>
                <w:rtl/>
              </w:rPr>
            </w:pPr>
          </w:p>
        </w:tc>
        <w:tc>
          <w:tcPr>
            <w:tcW w:w="2783" w:type="dxa"/>
            <w:shd w:val="clear" w:color="auto" w:fill="auto"/>
          </w:tcPr>
          <w:p w:rsidR="00272E66" w:rsidRPr="00267280" w:rsidRDefault="00272E66" w:rsidP="00332182">
            <w:pPr>
              <w:pStyle w:val="Ruller41"/>
              <w:jc w:val="right"/>
              <w:rPr>
                <w:rtl/>
              </w:rPr>
            </w:pPr>
            <w:r>
              <w:rPr>
                <w:rFonts w:hint="cs"/>
                <w:rtl/>
              </w:rPr>
              <w:t>ש ו פ ט</w:t>
            </w:r>
          </w:p>
        </w:tc>
      </w:tr>
    </w:tbl>
    <w:p w:rsidR="00272E66" w:rsidRDefault="00272E66" w:rsidP="00272E66">
      <w:pPr>
        <w:pStyle w:val="Ruller41"/>
        <w:rPr>
          <w:rtl/>
        </w:rPr>
      </w:pPr>
    </w:p>
    <w:p w:rsidR="00272E66" w:rsidRPr="00144051" w:rsidRDefault="00272E66" w:rsidP="00272E66">
      <w:pPr>
        <w:jc w:val="both"/>
        <w:rPr>
          <w:rFonts w:ascii="Century" w:hAnsi="Century" w:cs="Miriam"/>
          <w:b/>
          <w:sz w:val="22"/>
          <w:rtl/>
        </w:rPr>
      </w:pPr>
      <w:r w:rsidRPr="00144051">
        <w:rPr>
          <w:rFonts w:ascii="Century" w:hAnsi="Century" w:cs="Miriam"/>
          <w:b/>
          <w:sz w:val="22"/>
          <w:u w:val="single"/>
          <w:rtl/>
        </w:rPr>
        <w:t>השופט</w:t>
      </w:r>
      <w:r w:rsidR="004E7A39">
        <w:rPr>
          <w:rFonts w:ascii="Century" w:hAnsi="Century" w:cs="Miriam" w:hint="cs"/>
          <w:b/>
          <w:sz w:val="22"/>
          <w:u w:val="single"/>
          <w:rtl/>
        </w:rPr>
        <w:t>ת</w:t>
      </w:r>
      <w:r w:rsidRPr="00144051">
        <w:rPr>
          <w:rFonts w:ascii="Century" w:hAnsi="Century" w:cs="Miriam"/>
          <w:b/>
          <w:sz w:val="22"/>
          <w:u w:val="single"/>
          <w:rtl/>
        </w:rPr>
        <w:t xml:space="preserve"> </w:t>
      </w:r>
      <w:r w:rsidRPr="00144051">
        <w:rPr>
          <w:rFonts w:ascii="Century" w:hAnsi="Century" w:cs="Miriam" w:hint="cs"/>
          <w:b/>
          <w:sz w:val="22"/>
          <w:u w:val="single"/>
          <w:rtl/>
        </w:rPr>
        <w:t>ג' כנפי-שטייניץ</w:t>
      </w:r>
      <w:r w:rsidRPr="00144051">
        <w:rPr>
          <w:rFonts w:ascii="Century" w:hAnsi="Century" w:cs="Miriam"/>
          <w:b/>
          <w:sz w:val="22"/>
          <w:rtl/>
        </w:rPr>
        <w:t>:</w:t>
      </w:r>
    </w:p>
    <w:p w:rsidR="00272E66" w:rsidRDefault="00272E66" w:rsidP="00272E66">
      <w:pPr>
        <w:pStyle w:val="Ruller41"/>
        <w:rPr>
          <w:rtl/>
        </w:rPr>
      </w:pPr>
    </w:p>
    <w:p w:rsidR="00234FA8" w:rsidRDefault="00C3262F" w:rsidP="00234FA8">
      <w:pPr>
        <w:pStyle w:val="Ruller41"/>
        <w:rPr>
          <w:rtl/>
        </w:rPr>
      </w:pPr>
      <w:r>
        <w:tab/>
      </w:r>
      <w:r w:rsidR="00234FA8">
        <w:rPr>
          <w:rFonts w:hint="cs"/>
          <w:rtl/>
        </w:rPr>
        <w:t xml:space="preserve">אני מסכימה לחוות דעתו של חברי ממלא מקום הנשיא </w:t>
      </w:r>
      <w:r w:rsidR="00234FA8" w:rsidRPr="007943F2">
        <w:rPr>
          <w:rFonts w:ascii="Century" w:hAnsi="Century" w:cs="Miriam" w:hint="cs"/>
          <w:b/>
          <w:spacing w:val="0"/>
          <w:szCs w:val="24"/>
          <w:rtl/>
        </w:rPr>
        <w:t>ע' פוגלמן</w:t>
      </w:r>
      <w:r w:rsidR="00234FA8">
        <w:rPr>
          <w:rFonts w:hint="cs"/>
          <w:rtl/>
        </w:rPr>
        <w:t xml:space="preserve">, ולמסקנתו שלפיה יש לפרש את הביטוי "איש ואשתו יחד" בהוראת סעיף 3 לחוק אימוץ ילדים, התשמ"א-1981 (להלן: </w:t>
      </w:r>
      <w:r w:rsidR="00234FA8" w:rsidRPr="00783281">
        <w:rPr>
          <w:rFonts w:ascii="Century" w:hAnsi="Century" w:cs="Miriam" w:hint="cs"/>
          <w:b/>
          <w:spacing w:val="0"/>
          <w:szCs w:val="24"/>
          <w:rtl/>
        </w:rPr>
        <w:t>חוק האימוץ</w:t>
      </w:r>
      <w:r w:rsidR="00234FA8">
        <w:rPr>
          <w:rFonts w:hint="cs"/>
          <w:rtl/>
        </w:rPr>
        <w:t xml:space="preserve"> או </w:t>
      </w:r>
      <w:r w:rsidR="00234FA8" w:rsidRPr="00783281">
        <w:rPr>
          <w:rFonts w:ascii="Century" w:hAnsi="Century" w:cs="Miriam" w:hint="cs"/>
          <w:b/>
          <w:spacing w:val="0"/>
          <w:szCs w:val="24"/>
          <w:rtl/>
        </w:rPr>
        <w:t>החוק</w:t>
      </w:r>
      <w:r w:rsidR="00234FA8">
        <w:rPr>
          <w:rFonts w:hint="cs"/>
          <w:rtl/>
        </w:rPr>
        <w:t xml:space="preserve">), כמתייחסת גם לבני זוג מאותו המין. בשל חשיבות הסוגיה, אוסיף מספר מילים משלי.  </w:t>
      </w:r>
      <w:r w:rsidR="00234FA8">
        <w:rPr>
          <w:rtl/>
        </w:rPr>
        <w:br/>
      </w:r>
    </w:p>
    <w:p w:rsidR="00234FA8" w:rsidRDefault="00234FA8" w:rsidP="00234FA8">
      <w:pPr>
        <w:pStyle w:val="Ruller4"/>
        <w:numPr>
          <w:ilvl w:val="0"/>
          <w:numId w:val="15"/>
        </w:numPr>
      </w:pPr>
      <w:r>
        <w:rPr>
          <w:rFonts w:hint="cs"/>
          <w:rtl/>
        </w:rPr>
        <w:t xml:space="preserve">הוראות חוק האימוץ העוסקות ב"כשירות המאמץ" מייסדות ארבעה מסלולי אימוץ אפשריים: </w:t>
      </w:r>
      <w:r w:rsidRPr="00234FA8">
        <w:rPr>
          <w:rFonts w:ascii="Century" w:hAnsi="Century" w:cs="Miriam" w:hint="cs"/>
          <w:b/>
          <w:spacing w:val="0"/>
          <w:szCs w:val="24"/>
          <w:rtl/>
        </w:rPr>
        <w:t>המסלול האחד</w:t>
      </w:r>
      <w:r>
        <w:rPr>
          <w:rFonts w:hint="cs"/>
          <w:rtl/>
        </w:rPr>
        <w:t xml:space="preserve">, הוא המסלול הראשי או הכלל, הוא אימוץ על-ידי "איש ואשתו יחד" כאמור בסעיף 3 רישא לחוק. </w:t>
      </w:r>
      <w:r w:rsidRPr="00234FA8">
        <w:rPr>
          <w:rFonts w:ascii="Century" w:hAnsi="Century" w:cs="Miriam" w:hint="cs"/>
          <w:b/>
          <w:spacing w:val="0"/>
          <w:szCs w:val="24"/>
          <w:rtl/>
        </w:rPr>
        <w:t>המסלולים השני והשלישי</w:t>
      </w:r>
      <w:r>
        <w:rPr>
          <w:rFonts w:hint="cs"/>
          <w:rtl/>
        </w:rPr>
        <w:t xml:space="preserve">, הם מסלולים חריגים לכלל, המאפשרים אימוץ על-ידי "מאמץ יחיד" בהתמלא התנאים הבאים: כאשר המאמץ הוא בן זוגו של הורה המאומץ (סעיף 3(1) לחוק); או כאשר המאמץ הוא מקרובי המאומץ, אינו נשוי, והורי המאומץ נפטרו (סעיף 3(2) לחוק). </w:t>
      </w:r>
      <w:r w:rsidRPr="00234FA8">
        <w:rPr>
          <w:rFonts w:ascii="Century" w:hAnsi="Century" w:cs="Miriam" w:hint="cs"/>
          <w:b/>
          <w:spacing w:val="0"/>
          <w:szCs w:val="24"/>
          <w:rtl/>
        </w:rPr>
        <w:t>המסלול הרביעי,</w:t>
      </w:r>
      <w:r w:rsidRPr="00783281">
        <w:rPr>
          <w:rFonts w:hint="cs"/>
          <w:rtl/>
        </w:rPr>
        <w:t xml:space="preserve"> </w:t>
      </w:r>
      <w:r>
        <w:rPr>
          <w:rFonts w:hint="cs"/>
          <w:rtl/>
        </w:rPr>
        <w:t xml:space="preserve">מסלול חריג לחריגים, מאפשר אימוץ על-ידי "מאמץ יחיד" שאינו נשוי, באותם מקרים בהם סבור בית המשפט שהדבר יהיה לטובת </w:t>
      </w:r>
      <w:r w:rsidRPr="00D9768B">
        <w:rPr>
          <w:rFonts w:hint="cs"/>
          <w:rtl/>
        </w:rPr>
        <w:t xml:space="preserve">המאומץ, בנסיבות מיוחדות, ומטעמים שיירשמו (סעיף 25(2) לחוק בשילוב עם סעיף 3(2) לחוק). </w:t>
      </w:r>
    </w:p>
    <w:p w:rsidR="00234FA8" w:rsidRDefault="00234FA8" w:rsidP="00234FA8">
      <w:pPr>
        <w:pStyle w:val="Ruller4"/>
        <w:numPr>
          <w:ilvl w:val="0"/>
          <w:numId w:val="0"/>
        </w:numPr>
        <w:rPr>
          <w:rtl/>
        </w:rPr>
      </w:pPr>
    </w:p>
    <w:p w:rsidR="00234FA8" w:rsidRPr="00D9768B" w:rsidRDefault="00234FA8" w:rsidP="00234FA8">
      <w:pPr>
        <w:pStyle w:val="Ruller4"/>
        <w:numPr>
          <w:ilvl w:val="0"/>
          <w:numId w:val="0"/>
        </w:numPr>
        <w:rPr>
          <w:rtl/>
        </w:rPr>
      </w:pPr>
      <w:r>
        <w:rPr>
          <w:rtl/>
        </w:rPr>
        <w:tab/>
      </w:r>
      <w:r>
        <w:rPr>
          <w:rFonts w:hint="cs"/>
          <w:rtl/>
        </w:rPr>
        <w:t xml:space="preserve">בהתייחס למסלול הראשי </w:t>
      </w:r>
      <w:r w:rsidRPr="00D9768B">
        <w:rPr>
          <w:rFonts w:hint="cs"/>
          <w:rtl/>
        </w:rPr>
        <w:t>אעיר</w:t>
      </w:r>
      <w:r>
        <w:rPr>
          <w:rFonts w:hint="cs"/>
          <w:rtl/>
        </w:rPr>
        <w:t>,</w:t>
      </w:r>
      <w:r w:rsidRPr="00D9768B">
        <w:rPr>
          <w:rFonts w:hint="cs"/>
          <w:rtl/>
        </w:rPr>
        <w:t xml:space="preserve"> כי עד לפני מספר שנים, פורש הביטוי "איש ואשתו יחד" העומד במוקד הדיון שלפנינו, על</w:t>
      </w:r>
      <w:r>
        <w:rPr>
          <w:rFonts w:hint="cs"/>
          <w:rtl/>
        </w:rPr>
        <w:t>-</w:t>
      </w:r>
      <w:r w:rsidRPr="00D9768B">
        <w:rPr>
          <w:rFonts w:hint="cs"/>
          <w:rtl/>
        </w:rPr>
        <w:t>ידי המדינה, כמתייחס לאימוץ על-ידי זוג הטרוסקסואלי נשוי. בשנת 2017, הודיעה המדינה במסגרת תגובתה לעתירה שהוגשה בנושא, כי היא מכירה בפרשנות המחילה ביטוי זה גם על זוגות הטרוסקסואלים ידועים בציבור</w:t>
      </w:r>
      <w:r>
        <w:rPr>
          <w:rFonts w:hint="cs"/>
          <w:rtl/>
        </w:rPr>
        <w:t xml:space="preserve"> </w:t>
      </w:r>
      <w:r w:rsidRPr="00D9768B">
        <w:rPr>
          <w:rFonts w:hint="cs"/>
          <w:rtl/>
        </w:rPr>
        <w:t>(בג"ץ 3217/16</w:t>
      </w:r>
      <w:r>
        <w:rPr>
          <w:rFonts w:hint="cs"/>
          <w:rtl/>
        </w:rPr>
        <w:t xml:space="preserve"> </w:t>
      </w:r>
      <w:r w:rsidRPr="003A3EEB">
        <w:rPr>
          <w:rFonts w:ascii="Century" w:hAnsi="Century" w:cs="Miriam" w:hint="cs"/>
          <w:b/>
          <w:spacing w:val="0"/>
          <w:sz w:val="22"/>
          <w:szCs w:val="24"/>
          <w:rtl/>
        </w:rPr>
        <w:t xml:space="preserve">המרכז הרפורמי לדת ומדינה </w:t>
      </w:r>
      <w:r w:rsidRPr="003A3EEB">
        <w:rPr>
          <w:rFonts w:ascii="Century" w:hAnsi="Century" w:cs="Miriam"/>
          <w:b/>
          <w:spacing w:val="0"/>
          <w:sz w:val="22"/>
          <w:szCs w:val="24"/>
          <w:rtl/>
        </w:rPr>
        <w:t>–</w:t>
      </w:r>
      <w:r w:rsidRPr="003A3EEB">
        <w:rPr>
          <w:rFonts w:ascii="Century" w:hAnsi="Century" w:cs="Miriam" w:hint="cs"/>
          <w:b/>
          <w:spacing w:val="0"/>
          <w:sz w:val="22"/>
          <w:szCs w:val="24"/>
          <w:rtl/>
        </w:rPr>
        <w:t xml:space="preserve"> התנועה ליהדות מתקדמת בישראל נ' משרד העבודה, הרווחה והשירותים החברתיים</w:t>
      </w:r>
      <w:r>
        <w:rPr>
          <w:rFonts w:hint="cs"/>
          <w:rtl/>
        </w:rPr>
        <w:t>).</w:t>
      </w:r>
    </w:p>
    <w:p w:rsidR="00234FA8" w:rsidRDefault="00234FA8" w:rsidP="00234FA8">
      <w:pPr>
        <w:pStyle w:val="Ruller41"/>
        <w:rPr>
          <w:rtl/>
        </w:rPr>
      </w:pPr>
    </w:p>
    <w:p w:rsidR="00234FA8" w:rsidRDefault="00234FA8" w:rsidP="00234FA8">
      <w:pPr>
        <w:pStyle w:val="Ruller4"/>
      </w:pPr>
      <w:r>
        <w:rPr>
          <w:rFonts w:hint="cs"/>
          <w:rtl/>
        </w:rPr>
        <w:t xml:space="preserve">על פי הפרשנות הנוהגת כיום על-ידי המדינה </w:t>
      </w:r>
      <w:r>
        <w:rPr>
          <w:rtl/>
        </w:rPr>
        <w:t>–</w:t>
      </w:r>
      <w:r>
        <w:rPr>
          <w:rFonts w:hint="cs"/>
          <w:rtl/>
        </w:rPr>
        <w:t xml:space="preserve"> המושתתת על פסק הדין שניתן בעניין </w:t>
      </w:r>
      <w:proofErr w:type="spellStart"/>
      <w:r w:rsidRPr="00147B2A">
        <w:rPr>
          <w:rFonts w:cs="Miriam" w:hint="cs"/>
          <w:b/>
          <w:spacing w:val="0"/>
          <w:szCs w:val="24"/>
          <w:rtl/>
        </w:rPr>
        <w:t>ירוס</w:t>
      </w:r>
      <w:proofErr w:type="spellEnd"/>
      <w:r w:rsidRPr="00147B2A">
        <w:rPr>
          <w:rFonts w:cs="Miriam" w:hint="cs"/>
          <w:b/>
          <w:spacing w:val="0"/>
          <w:szCs w:val="24"/>
          <w:rtl/>
        </w:rPr>
        <w:t>-חקק</w:t>
      </w:r>
      <w:r>
        <w:rPr>
          <w:rFonts w:hint="cs"/>
          <w:rtl/>
        </w:rPr>
        <w:t xml:space="preserve"> (</w:t>
      </w:r>
      <w:r w:rsidRPr="006E7632">
        <w:rPr>
          <w:rFonts w:hint="cs"/>
          <w:rtl/>
        </w:rPr>
        <w:t>ע</w:t>
      </w:r>
      <w:r w:rsidRPr="006E7632">
        <w:rPr>
          <w:rtl/>
        </w:rPr>
        <w:t>"</w:t>
      </w:r>
      <w:r w:rsidRPr="006E7632">
        <w:rPr>
          <w:rFonts w:hint="eastAsia"/>
          <w:rtl/>
        </w:rPr>
        <w:t>א</w:t>
      </w:r>
      <w:r w:rsidRPr="006E7632">
        <w:rPr>
          <w:rtl/>
        </w:rPr>
        <w:t xml:space="preserve"> 10280/01 </w:t>
      </w:r>
      <w:proofErr w:type="spellStart"/>
      <w:r w:rsidRPr="006E7632">
        <w:rPr>
          <w:rFonts w:cs="Miriam" w:hint="cs"/>
          <w:b/>
          <w:spacing w:val="0"/>
          <w:szCs w:val="24"/>
          <w:rtl/>
        </w:rPr>
        <w:t>ירוס</w:t>
      </w:r>
      <w:proofErr w:type="spellEnd"/>
      <w:r w:rsidRPr="006E7632">
        <w:rPr>
          <w:rFonts w:cs="Miriam" w:hint="cs"/>
          <w:b/>
          <w:spacing w:val="0"/>
          <w:szCs w:val="24"/>
          <w:rtl/>
        </w:rPr>
        <w:t xml:space="preserve">-חקק </w:t>
      </w:r>
      <w:r w:rsidRPr="006E7632">
        <w:rPr>
          <w:rFonts w:cs="Miriam" w:hint="eastAsia"/>
          <w:b/>
          <w:spacing w:val="0"/>
          <w:szCs w:val="24"/>
          <w:rtl/>
        </w:rPr>
        <w:t>נ</w:t>
      </w:r>
      <w:r w:rsidRPr="006E7632">
        <w:rPr>
          <w:rFonts w:cs="Miriam"/>
          <w:b/>
          <w:spacing w:val="0"/>
          <w:szCs w:val="24"/>
          <w:rtl/>
        </w:rPr>
        <w:t xml:space="preserve">' </w:t>
      </w:r>
      <w:r w:rsidRPr="006E7632">
        <w:rPr>
          <w:rFonts w:cs="Miriam" w:hint="eastAsia"/>
          <w:b/>
          <w:spacing w:val="0"/>
          <w:szCs w:val="24"/>
          <w:rtl/>
        </w:rPr>
        <w:t>היועץ</w:t>
      </w:r>
      <w:r w:rsidRPr="006E7632">
        <w:rPr>
          <w:rFonts w:cs="Miriam"/>
          <w:b/>
          <w:spacing w:val="0"/>
          <w:szCs w:val="24"/>
          <w:rtl/>
        </w:rPr>
        <w:t xml:space="preserve"> </w:t>
      </w:r>
      <w:r w:rsidRPr="006E7632">
        <w:rPr>
          <w:rFonts w:cs="Miriam" w:hint="eastAsia"/>
          <w:b/>
          <w:spacing w:val="0"/>
          <w:szCs w:val="24"/>
          <w:rtl/>
        </w:rPr>
        <w:t>המשפטי</w:t>
      </w:r>
      <w:r w:rsidRPr="006E7632">
        <w:rPr>
          <w:rFonts w:cs="Miriam"/>
          <w:b/>
          <w:spacing w:val="0"/>
          <w:szCs w:val="24"/>
          <w:rtl/>
        </w:rPr>
        <w:t xml:space="preserve"> </w:t>
      </w:r>
      <w:r w:rsidRPr="006E7632">
        <w:rPr>
          <w:rFonts w:cs="Miriam" w:hint="eastAsia"/>
          <w:b/>
          <w:spacing w:val="0"/>
          <w:szCs w:val="24"/>
          <w:rtl/>
        </w:rPr>
        <w:t>לממשלה</w:t>
      </w:r>
      <w:r w:rsidRPr="006E7632">
        <w:rPr>
          <w:rtl/>
        </w:rPr>
        <w:t xml:space="preserve">, </w:t>
      </w:r>
      <w:r w:rsidRPr="006E7632">
        <w:rPr>
          <w:rFonts w:hint="cs"/>
          <w:rtl/>
        </w:rPr>
        <w:t xml:space="preserve">פ"ד </w:t>
      </w:r>
      <w:r w:rsidRPr="006E7632">
        <w:rPr>
          <w:rFonts w:hint="eastAsia"/>
          <w:rtl/>
        </w:rPr>
        <w:t>נט</w:t>
      </w:r>
      <w:r w:rsidRPr="006E7632">
        <w:rPr>
          <w:rtl/>
        </w:rPr>
        <w:t>(5) 64 (2005)</w:t>
      </w:r>
      <w:r>
        <w:rPr>
          <w:rFonts w:hint="cs"/>
          <w:rtl/>
        </w:rPr>
        <w:t xml:space="preserve"> (להלן: עניין </w:t>
      </w:r>
      <w:proofErr w:type="spellStart"/>
      <w:r w:rsidRPr="00E03071">
        <w:rPr>
          <w:rFonts w:ascii="Century" w:hAnsi="Century" w:cs="Miriam" w:hint="cs"/>
          <w:b/>
          <w:spacing w:val="0"/>
          <w:sz w:val="22"/>
          <w:szCs w:val="24"/>
          <w:rtl/>
        </w:rPr>
        <w:t>ירוס</w:t>
      </w:r>
      <w:proofErr w:type="spellEnd"/>
      <w:r w:rsidRPr="00E03071">
        <w:rPr>
          <w:rFonts w:ascii="Century" w:hAnsi="Century" w:cs="Miriam" w:hint="cs"/>
          <w:b/>
          <w:spacing w:val="0"/>
          <w:sz w:val="22"/>
          <w:szCs w:val="24"/>
          <w:rtl/>
        </w:rPr>
        <w:t>-חקק</w:t>
      </w:r>
      <w:r>
        <w:rPr>
          <w:rFonts w:hint="cs"/>
          <w:rtl/>
        </w:rPr>
        <w:t xml:space="preserve">), ועל הנחיית היועץ המשפטי לממשלה בנושא משנת 2008 (להלן: </w:t>
      </w:r>
      <w:r w:rsidRPr="009224EA">
        <w:rPr>
          <w:rFonts w:ascii="Century" w:hAnsi="Century" w:cs="Miriam" w:hint="cs"/>
          <w:b/>
          <w:spacing w:val="0"/>
          <w:sz w:val="22"/>
          <w:szCs w:val="24"/>
          <w:rtl/>
        </w:rPr>
        <w:t>הנחיית היועמ"ש</w:t>
      </w:r>
      <w:r>
        <w:rPr>
          <w:rFonts w:hint="cs"/>
          <w:rtl/>
        </w:rPr>
        <w:t xml:space="preserve">) </w:t>
      </w:r>
      <w:r>
        <w:rPr>
          <w:rtl/>
        </w:rPr>
        <w:t>–</w:t>
      </w:r>
      <w:r>
        <w:rPr>
          <w:rFonts w:hint="cs"/>
          <w:rtl/>
        </w:rPr>
        <w:t xml:space="preserve"> אימוץ ילד שלא מקרב המשפחה ("ילד זר" כלשון </w:t>
      </w:r>
      <w:r>
        <w:rPr>
          <w:rFonts w:hint="cs"/>
          <w:rtl/>
        </w:rPr>
        <w:lastRenderedPageBreak/>
        <w:t xml:space="preserve">הנחיית היועמ"ש) על-ידי זוגות חד-מיניים, מתאפשר רק במסגרת </w:t>
      </w:r>
      <w:r w:rsidRPr="008130E7">
        <w:rPr>
          <w:rFonts w:ascii="Century" w:hAnsi="Century" w:cs="Miriam" w:hint="cs"/>
          <w:b/>
          <w:spacing w:val="0"/>
          <w:sz w:val="22"/>
          <w:szCs w:val="24"/>
          <w:rtl/>
        </w:rPr>
        <w:t>המסלול הרביעי</w:t>
      </w:r>
      <w:r>
        <w:rPr>
          <w:rFonts w:hint="cs"/>
          <w:rtl/>
        </w:rPr>
        <w:t xml:space="preserve">. זאת, באמצעות הגשת שתי בקשות נבדלות של "מאמץ יחיד", אשר הטיפול בהן נעשה במאוחד. פרשנות זו מיושמת בפועל באופן שבקשותיהם של זוגות חד-מיניים לאימוץ אינן נשקלות, אלא במקרים שבהם לא נמצא לילד המועמד לאימוץ זוג מאמץ </w:t>
      </w:r>
      <w:r w:rsidRPr="00980A12">
        <w:rPr>
          <w:rFonts w:hint="cs"/>
          <w:rtl/>
        </w:rPr>
        <w:t xml:space="preserve">הטרוסקסואלי. כפי שעולה מתגובת המדינה, הלכה למעשה, מדובר במספר מצומצם ביותר של מקרים, </w:t>
      </w:r>
      <w:r>
        <w:rPr>
          <w:rFonts w:hint="cs"/>
          <w:rtl/>
        </w:rPr>
        <w:t xml:space="preserve">שעניינם באימוץ של </w:t>
      </w:r>
      <w:r w:rsidRPr="00980A12">
        <w:rPr>
          <w:rFonts w:hint="cs"/>
          <w:rtl/>
        </w:rPr>
        <w:t xml:space="preserve">ילדים בגילאים מבוגרים יחסית, מרקע מורכב, או בעלי צרכים מיוחדים. </w:t>
      </w:r>
    </w:p>
    <w:p w:rsidR="00234FA8" w:rsidRDefault="00234FA8" w:rsidP="00234FA8">
      <w:pPr>
        <w:pStyle w:val="Ruller4"/>
        <w:numPr>
          <w:ilvl w:val="0"/>
          <w:numId w:val="0"/>
        </w:numPr>
        <w:rPr>
          <w:rtl/>
        </w:rPr>
      </w:pPr>
    </w:p>
    <w:p w:rsidR="00234FA8" w:rsidRDefault="00234FA8" w:rsidP="00234FA8">
      <w:pPr>
        <w:pStyle w:val="Ruller4"/>
        <w:numPr>
          <w:ilvl w:val="0"/>
          <w:numId w:val="0"/>
        </w:numPr>
      </w:pPr>
      <w:r>
        <w:rPr>
          <w:rtl/>
        </w:rPr>
        <w:tab/>
      </w:r>
      <w:r w:rsidRPr="00980A12">
        <w:rPr>
          <w:rFonts w:hint="cs"/>
          <w:rtl/>
        </w:rPr>
        <w:t>הפרשנות</w:t>
      </w:r>
      <w:r>
        <w:rPr>
          <w:rFonts w:hint="cs"/>
          <w:rtl/>
        </w:rPr>
        <w:t xml:space="preserve"> הנוהגת מרעה אפוא את מצבם של זוגות חד-מיניים, בהשוואה </w:t>
      </w:r>
      <w:r w:rsidRPr="00295572">
        <w:rPr>
          <w:rFonts w:hint="cs"/>
          <w:rtl/>
        </w:rPr>
        <w:t xml:space="preserve">לזוגות </w:t>
      </w:r>
      <w:r>
        <w:rPr>
          <w:rFonts w:hint="cs"/>
          <w:rtl/>
        </w:rPr>
        <w:t>הטרוסקסואליים</w:t>
      </w:r>
      <w:r w:rsidRPr="00295572">
        <w:rPr>
          <w:rFonts w:hint="cs"/>
          <w:rtl/>
        </w:rPr>
        <w:t>, בשני</w:t>
      </w:r>
      <w:r>
        <w:rPr>
          <w:rFonts w:hint="cs"/>
          <w:rtl/>
        </w:rPr>
        <w:t xml:space="preserve"> מישורים: הן במסר הנורמטיבי העולה ממנה, שלפיו זוגות חד-מיניים כשירים לאמץ רק דרך "הדלת האחורית" במסגרת המסלול החריג לחריגים, הדורש קיום נסיבות מיוחדות </w:t>
      </w:r>
      <w:r w:rsidRPr="00C445F9">
        <w:rPr>
          <w:rFonts w:hint="cs"/>
          <w:rtl/>
        </w:rPr>
        <w:t>וטעמים שירשמו, באופן המטיל ספק בכשירותם ההורית כקבוצה; והן באופן</w:t>
      </w:r>
      <w:r>
        <w:rPr>
          <w:rFonts w:hint="cs"/>
          <w:rtl/>
        </w:rPr>
        <w:t xml:space="preserve"> יישומה בפועל, על-ידי דחיקת בקשותיהם של זוגות אלה "לתחתית הערמה", ושקילתן כמוצא אחרון למאומץ שלא נמצא לו זוג הטרוסקסואלי המתאים לאמצו.  </w:t>
      </w:r>
      <w:r>
        <w:rPr>
          <w:rtl/>
        </w:rPr>
        <w:br/>
      </w:r>
    </w:p>
    <w:p w:rsidR="00234FA8" w:rsidRDefault="00234FA8" w:rsidP="00234FA8">
      <w:pPr>
        <w:pStyle w:val="Ruller4"/>
      </w:pPr>
      <w:r>
        <w:rPr>
          <w:rFonts w:hint="cs"/>
          <w:rtl/>
        </w:rPr>
        <w:t xml:space="preserve">פרשנות זו אינה מתחייבת מתכליתו של חוק האימוץ, ומתכלית הוראת סעיף 3 לחוק בפרט, שעניינם בקידום טובת הילד המאומץ, והיא אף עשויה להימצא מנוגדת לה. כפי שפירט חברי מ"מ הנשיא </w:t>
      </w:r>
      <w:r w:rsidRPr="00485F8D">
        <w:rPr>
          <w:rFonts w:ascii="Century" w:hAnsi="Century" w:cs="Miriam" w:hint="cs"/>
          <w:b/>
          <w:spacing w:val="0"/>
          <w:sz w:val="22"/>
          <w:szCs w:val="24"/>
          <w:rtl/>
        </w:rPr>
        <w:t>פוגלמן</w:t>
      </w:r>
      <w:r>
        <w:rPr>
          <w:rFonts w:hint="cs"/>
          <w:rtl/>
        </w:rPr>
        <w:t xml:space="preserve">, העובדה כי לא נשקלות כלל בקשותיהם של זוגות חד-מיניים לאימוץ, אלא אם לא נמצאו לילד מאמצים אחרים, הטרוסקסואליים </w:t>
      </w:r>
      <w:r>
        <w:rPr>
          <w:rtl/>
        </w:rPr>
        <w:t>–</w:t>
      </w:r>
      <w:r>
        <w:rPr>
          <w:rFonts w:hint="cs"/>
          <w:rtl/>
        </w:rPr>
        <w:t xml:space="preserve"> עלולה להוביל למצב שבו יימסר ילד לאימוץ לזוג הטרוסקסואלי אשר היכולת שלו לענות על צרכיו של המאומץ פחותה מזו של זוג חד-מיני המבקש לאמצו. </w:t>
      </w:r>
    </w:p>
    <w:p w:rsidR="00234FA8" w:rsidRDefault="00234FA8" w:rsidP="00234FA8">
      <w:pPr>
        <w:pStyle w:val="Ruller4"/>
        <w:numPr>
          <w:ilvl w:val="0"/>
          <w:numId w:val="0"/>
        </w:numPr>
        <w:rPr>
          <w:rtl/>
        </w:rPr>
      </w:pPr>
    </w:p>
    <w:p w:rsidR="00234FA8" w:rsidRDefault="00234FA8" w:rsidP="00234FA8">
      <w:pPr>
        <w:pStyle w:val="Ruller4"/>
        <w:numPr>
          <w:ilvl w:val="0"/>
          <w:numId w:val="0"/>
        </w:numPr>
      </w:pPr>
      <w:r>
        <w:rPr>
          <w:rtl/>
        </w:rPr>
        <w:tab/>
      </w:r>
      <w:r>
        <w:rPr>
          <w:rFonts w:hint="cs"/>
          <w:rtl/>
        </w:rPr>
        <w:t xml:space="preserve">הטעם להעדפת מאמצים </w:t>
      </w:r>
      <w:r w:rsidRPr="00980A12">
        <w:rPr>
          <w:rFonts w:hint="cs"/>
          <w:rtl/>
        </w:rPr>
        <w:t>הטרוסקסואלים על פני זוג חד-מיני, כפי שהובא בעמדת שר הרווחה שהונחה לפנינו</w:t>
      </w:r>
      <w:r>
        <w:rPr>
          <w:rFonts w:hint="cs"/>
          <w:rtl/>
        </w:rPr>
        <w:t>,</w:t>
      </w:r>
      <w:r w:rsidRPr="00980A12">
        <w:rPr>
          <w:rFonts w:hint="cs"/>
          <w:rtl/>
        </w:rPr>
        <w:t xml:space="preserve"> </w:t>
      </w:r>
      <w:r>
        <w:rPr>
          <w:rFonts w:hint="cs"/>
          <w:rtl/>
        </w:rPr>
        <w:t xml:space="preserve">נעוץ בטענה שלפיה </w:t>
      </w:r>
      <w:r w:rsidRPr="00980A12">
        <w:rPr>
          <w:rFonts w:hint="cs"/>
          <w:rtl/>
        </w:rPr>
        <w:t xml:space="preserve">מסירת ילד לאימוץ לזוג חד-מיני </w:t>
      </w:r>
      <w:r>
        <w:rPr>
          <w:rFonts w:hint="cs"/>
          <w:rtl/>
        </w:rPr>
        <w:t xml:space="preserve">אינה עולה בקנה אחד עם </w:t>
      </w:r>
      <w:r w:rsidRPr="00980A12">
        <w:rPr>
          <w:rFonts w:hint="cs"/>
          <w:rtl/>
        </w:rPr>
        <w:t>טובת הילד, שכן היא מוסיפה לחייו "מורכבות נוספת"</w:t>
      </w:r>
      <w:r>
        <w:rPr>
          <w:rFonts w:hint="cs"/>
          <w:rtl/>
        </w:rPr>
        <w:t>. זאת, מעבר ל</w:t>
      </w:r>
      <w:r w:rsidRPr="00980A12">
        <w:rPr>
          <w:rFonts w:hint="cs"/>
          <w:rtl/>
        </w:rPr>
        <w:t xml:space="preserve">מורכבות </w:t>
      </w:r>
      <w:r>
        <w:rPr>
          <w:rFonts w:hint="cs"/>
          <w:rtl/>
        </w:rPr>
        <w:t>הנובעת מנסיבות חייו ו</w:t>
      </w:r>
      <w:r w:rsidRPr="00980A12">
        <w:rPr>
          <w:rFonts w:hint="cs"/>
          <w:rtl/>
        </w:rPr>
        <w:t>מעצם מסירתו</w:t>
      </w:r>
      <w:r>
        <w:rPr>
          <w:rFonts w:hint="cs"/>
          <w:rtl/>
        </w:rPr>
        <w:t xml:space="preserve"> לאימוץ. חברי הסביר כי טענה זו אינה נתמכת במחקרים העדכניים בנושא ובעמדותיהם של גורמי המקצוע. בהקשר זה אוסיף, כי טענה זו אינה מתיישבת גם עם </w:t>
      </w:r>
      <w:r w:rsidRPr="00DF16AD">
        <w:rPr>
          <w:rFonts w:hint="cs"/>
          <w:rtl/>
        </w:rPr>
        <w:t>ההכרה המשפטית בכשירותם</w:t>
      </w:r>
      <w:r>
        <w:rPr>
          <w:rFonts w:hint="cs"/>
          <w:rtl/>
        </w:rPr>
        <w:t xml:space="preserve"> העקרונית של זוגות חד-מיניים כמאמצים, גם אם במסגרת המסלול הרביעי. היא גם אינה מתיישבת עם פסיקת בית משפט זה בעניין </w:t>
      </w:r>
      <w:proofErr w:type="spellStart"/>
      <w:r w:rsidRPr="00C16171">
        <w:rPr>
          <w:rFonts w:ascii="Century" w:hAnsi="Century" w:cs="Miriam" w:hint="cs"/>
          <w:b/>
          <w:spacing w:val="0"/>
          <w:sz w:val="22"/>
          <w:szCs w:val="24"/>
          <w:rtl/>
        </w:rPr>
        <w:t>ירוס</w:t>
      </w:r>
      <w:proofErr w:type="spellEnd"/>
      <w:r w:rsidRPr="00C16171">
        <w:rPr>
          <w:rFonts w:ascii="Century" w:hAnsi="Century" w:cs="Miriam" w:hint="cs"/>
          <w:b/>
          <w:spacing w:val="0"/>
          <w:sz w:val="22"/>
          <w:szCs w:val="24"/>
          <w:rtl/>
        </w:rPr>
        <w:t>-חקק</w:t>
      </w:r>
      <w:r>
        <w:rPr>
          <w:rFonts w:hint="cs"/>
          <w:rtl/>
        </w:rPr>
        <w:t>, שלפיה לא ניתן לשלול א-</w:t>
      </w:r>
      <w:proofErr w:type="spellStart"/>
      <w:r>
        <w:rPr>
          <w:rFonts w:hint="cs"/>
          <w:rtl/>
        </w:rPr>
        <w:t>פריורית</w:t>
      </w:r>
      <w:proofErr w:type="spellEnd"/>
      <w:r>
        <w:rPr>
          <w:rFonts w:hint="cs"/>
          <w:rtl/>
        </w:rPr>
        <w:t xml:space="preserve"> את כשירותם של זוגות חד-מיניים כמאמצים, מטעמים שבטובת הילד (</w:t>
      </w:r>
      <w:r w:rsidRPr="00295572">
        <w:rPr>
          <w:rFonts w:ascii="Century" w:hAnsi="Century" w:cs="Miriam" w:hint="cs"/>
          <w:b/>
          <w:spacing w:val="0"/>
          <w:sz w:val="22"/>
          <w:szCs w:val="24"/>
          <w:rtl/>
        </w:rPr>
        <w:t>שם</w:t>
      </w:r>
      <w:r>
        <w:rPr>
          <w:rFonts w:hint="cs"/>
          <w:rtl/>
        </w:rPr>
        <w:t xml:space="preserve">, בעמ' 107). העובדה כי זוגות אלה מיועדים לאמץ בפועל ילדים מרקע מורכב או בעלי צרכים מיוחדים, אשר גידולם צפוי להיות, לכאורה, מאתגר במיוחד </w:t>
      </w:r>
      <w:r>
        <w:rPr>
          <w:rtl/>
        </w:rPr>
        <w:t>–</w:t>
      </w:r>
      <w:r>
        <w:rPr>
          <w:rFonts w:hint="cs"/>
          <w:rtl/>
        </w:rPr>
        <w:t xml:space="preserve"> מתנגשת חזיתית עם </w:t>
      </w:r>
      <w:r>
        <w:rPr>
          <w:rFonts w:hint="cs"/>
          <w:rtl/>
        </w:rPr>
        <w:lastRenderedPageBreak/>
        <w:t xml:space="preserve">הטענה המטילה ספק בכשירותם ההורית, וביכולתם לקדם את טובתו של הילד שיגדל עמם. </w:t>
      </w:r>
    </w:p>
    <w:p w:rsidR="00234FA8" w:rsidRDefault="00234FA8" w:rsidP="00234FA8">
      <w:pPr>
        <w:pStyle w:val="Ruller4"/>
        <w:numPr>
          <w:ilvl w:val="0"/>
          <w:numId w:val="0"/>
        </w:numPr>
        <w:rPr>
          <w:rtl/>
        </w:rPr>
      </w:pPr>
    </w:p>
    <w:p w:rsidR="00234FA8" w:rsidRDefault="00234FA8" w:rsidP="00234FA8">
      <w:pPr>
        <w:pStyle w:val="Ruller4"/>
        <w:rPr>
          <w:rtl/>
        </w:rPr>
      </w:pPr>
      <w:r>
        <w:rPr>
          <w:rFonts w:hint="cs"/>
          <w:rtl/>
        </w:rPr>
        <w:t xml:space="preserve">בנקודה זו אבקש להעיר </w:t>
      </w:r>
      <w:r w:rsidRPr="002B6605">
        <w:rPr>
          <w:rFonts w:hint="cs"/>
          <w:rtl/>
        </w:rPr>
        <w:t>הערה נוספת, הנוגעת לתפיסות חברתיות מקובלות.</w:t>
      </w:r>
      <w:r>
        <w:rPr>
          <w:rFonts w:hint="cs"/>
          <w:rtl/>
        </w:rPr>
        <w:t xml:space="preserve"> הטענה כי אימוץ על-ידי זוגות חד-מיניים אינו עולה בקנה אחד עם טובת הילד, מק</w:t>
      </w:r>
      <w:r w:rsidRPr="00353D6B">
        <w:rPr>
          <w:rFonts w:hint="cs"/>
          <w:rtl/>
        </w:rPr>
        <w:t xml:space="preserve">פלת בתוכה </w:t>
      </w:r>
      <w:r>
        <w:rPr>
          <w:rFonts w:hint="cs"/>
          <w:rtl/>
        </w:rPr>
        <w:t>לעיתים את ה</w:t>
      </w:r>
      <w:r w:rsidRPr="00353D6B">
        <w:rPr>
          <w:rFonts w:hint="cs"/>
          <w:rtl/>
        </w:rPr>
        <w:t xml:space="preserve">הנחה שלפיה משפחות חד-מיניות נתפסות בחברה </w:t>
      </w:r>
      <w:r>
        <w:rPr>
          <w:rFonts w:hint="cs"/>
          <w:rtl/>
        </w:rPr>
        <w:t>באור שלילי, ו</w:t>
      </w:r>
      <w:r w:rsidRPr="00353D6B">
        <w:rPr>
          <w:rFonts w:hint="cs"/>
          <w:rtl/>
        </w:rPr>
        <w:t xml:space="preserve">כמקור </w:t>
      </w:r>
      <w:r w:rsidRPr="00E71881">
        <w:rPr>
          <w:rFonts w:hint="eastAsia"/>
          <w:rtl/>
        </w:rPr>
        <w:t>לבושה</w:t>
      </w:r>
      <w:r w:rsidRPr="00E71881">
        <w:rPr>
          <w:rtl/>
        </w:rPr>
        <w:t>.</w:t>
      </w:r>
      <w:r w:rsidRPr="00353D6B">
        <w:rPr>
          <w:rFonts w:hint="cs"/>
          <w:rtl/>
        </w:rPr>
        <w:t xml:space="preserve"> </w:t>
      </w:r>
      <w:r>
        <w:rPr>
          <w:rFonts w:hint="cs"/>
          <w:rtl/>
        </w:rPr>
        <w:t xml:space="preserve">יתכן שהנחה זו הייתה נכונה לזמנה, אך </w:t>
      </w:r>
      <w:r w:rsidRPr="00353D6B">
        <w:rPr>
          <w:rFonts w:hint="cs"/>
          <w:rtl/>
        </w:rPr>
        <w:t>ספק</w:t>
      </w:r>
      <w:r>
        <w:rPr>
          <w:rFonts w:hint="cs"/>
          <w:rtl/>
        </w:rPr>
        <w:t xml:space="preserve"> אם היא מייצגת את התפיסות הרווחות כיום בחברה הישראלית. יתר על כן, הגם שתפיסות חברתיות עשויות להשפיע על עולמו של הילד, ולפיכך יש בהן משום שיקול רלבנטי לבחינת טובתו לעת אימוצו </w:t>
      </w:r>
      <w:r>
        <w:rPr>
          <w:rtl/>
        </w:rPr>
        <w:t>–</w:t>
      </w:r>
      <w:r>
        <w:rPr>
          <w:rFonts w:hint="cs"/>
          <w:rtl/>
        </w:rPr>
        <w:t xml:space="preserve"> אין מדובר בשיקול מכריע, אלא בשיקול אחד מתוך מכלול שיקולים רלבנטיים בהקשרו של הילד המסוים שעניינו עומד להכרעה (עניין </w:t>
      </w:r>
      <w:proofErr w:type="spellStart"/>
      <w:r w:rsidRPr="006D570B">
        <w:rPr>
          <w:rFonts w:ascii="Century" w:hAnsi="Century" w:cs="Miriam" w:hint="cs"/>
          <w:b/>
          <w:spacing w:val="0"/>
          <w:sz w:val="22"/>
          <w:szCs w:val="24"/>
          <w:rtl/>
        </w:rPr>
        <w:t>ירוס</w:t>
      </w:r>
      <w:proofErr w:type="spellEnd"/>
      <w:r w:rsidRPr="006D570B">
        <w:rPr>
          <w:rFonts w:ascii="Century" w:hAnsi="Century" w:cs="Miriam" w:hint="cs"/>
          <w:b/>
          <w:spacing w:val="0"/>
          <w:sz w:val="22"/>
          <w:szCs w:val="24"/>
          <w:rtl/>
        </w:rPr>
        <w:t>-חקק</w:t>
      </w:r>
      <w:r>
        <w:rPr>
          <w:rFonts w:hint="cs"/>
          <w:rtl/>
        </w:rPr>
        <w:t xml:space="preserve">, בעמ' 107-105). במסגרת בחינתו של שיקול זה, יש להישמר מפני טענות בדבר "תפיסות חברתיות" המבוססות למעשה על הטיות הנובעות מדעות קדומות וסטיגמות חברתיות שדבקו </w:t>
      </w:r>
      <w:r w:rsidRPr="00E20FDF">
        <w:rPr>
          <w:rFonts w:hint="cs"/>
          <w:rtl/>
        </w:rPr>
        <w:t xml:space="preserve">בקבוצה </w:t>
      </w:r>
      <w:r w:rsidRPr="004F3791">
        <w:rPr>
          <w:rFonts w:hint="cs"/>
          <w:rtl/>
        </w:rPr>
        <w:t xml:space="preserve">מסוימת </w:t>
      </w:r>
      <w:r w:rsidRPr="00E20FDF">
        <w:rPr>
          <w:rFonts w:hint="cs"/>
          <w:rtl/>
        </w:rPr>
        <w:t xml:space="preserve">(וראו: </w:t>
      </w:r>
      <w:r w:rsidRPr="00E20FDF">
        <w:rPr>
          <w:rFonts w:hint="eastAsia"/>
          <w:rtl/>
        </w:rPr>
        <w:t>בג</w:t>
      </w:r>
      <w:r w:rsidRPr="00E20FDF">
        <w:rPr>
          <w:rtl/>
        </w:rPr>
        <w:t>"</w:t>
      </w:r>
      <w:r w:rsidRPr="002B476D">
        <w:rPr>
          <w:rFonts w:hint="eastAsia"/>
          <w:rtl/>
        </w:rPr>
        <w:t>ץ</w:t>
      </w:r>
      <w:r w:rsidRPr="002B476D">
        <w:rPr>
          <w:rtl/>
        </w:rPr>
        <w:t xml:space="preserve"> 2458/01 </w:t>
      </w:r>
      <w:r w:rsidRPr="006D570B">
        <w:rPr>
          <w:rFonts w:ascii="Century" w:hAnsi="Century" w:cs="Miriam" w:hint="eastAsia"/>
          <w:b/>
          <w:spacing w:val="0"/>
          <w:sz w:val="22"/>
          <w:szCs w:val="24"/>
          <w:rtl/>
        </w:rPr>
        <w:t>משפחה</w:t>
      </w:r>
      <w:r w:rsidRPr="006D570B">
        <w:rPr>
          <w:rFonts w:ascii="Century" w:hAnsi="Century" w:cs="Miriam"/>
          <w:b/>
          <w:spacing w:val="0"/>
          <w:sz w:val="22"/>
          <w:szCs w:val="24"/>
          <w:rtl/>
        </w:rPr>
        <w:t xml:space="preserve"> </w:t>
      </w:r>
      <w:r w:rsidRPr="006D570B">
        <w:rPr>
          <w:rFonts w:ascii="Century" w:hAnsi="Century" w:cs="Miriam" w:hint="eastAsia"/>
          <w:b/>
          <w:spacing w:val="0"/>
          <w:sz w:val="22"/>
          <w:szCs w:val="24"/>
          <w:rtl/>
        </w:rPr>
        <w:t>חדשה</w:t>
      </w:r>
      <w:r w:rsidRPr="006D570B">
        <w:rPr>
          <w:rFonts w:ascii="Century" w:hAnsi="Century" w:cs="Miriam"/>
          <w:b/>
          <w:spacing w:val="0"/>
          <w:sz w:val="22"/>
          <w:szCs w:val="24"/>
          <w:rtl/>
        </w:rPr>
        <w:t xml:space="preserve"> </w:t>
      </w:r>
      <w:r w:rsidRPr="006D570B">
        <w:rPr>
          <w:rFonts w:ascii="Century" w:hAnsi="Century" w:cs="Miriam" w:hint="eastAsia"/>
          <w:b/>
          <w:spacing w:val="0"/>
          <w:sz w:val="22"/>
          <w:szCs w:val="24"/>
          <w:rtl/>
        </w:rPr>
        <w:t>נ</w:t>
      </w:r>
      <w:r w:rsidRPr="006D570B">
        <w:rPr>
          <w:rFonts w:ascii="Century" w:hAnsi="Century" w:cs="Miriam"/>
          <w:b/>
          <w:spacing w:val="0"/>
          <w:sz w:val="22"/>
          <w:szCs w:val="24"/>
          <w:rtl/>
        </w:rPr>
        <w:t xml:space="preserve">' </w:t>
      </w:r>
      <w:r w:rsidRPr="006D570B">
        <w:rPr>
          <w:rFonts w:ascii="Century" w:hAnsi="Century" w:cs="Miriam" w:hint="eastAsia"/>
          <w:b/>
          <w:spacing w:val="0"/>
          <w:sz w:val="22"/>
          <w:szCs w:val="24"/>
          <w:rtl/>
        </w:rPr>
        <w:t>הוועדה</w:t>
      </w:r>
      <w:r w:rsidRPr="006D570B">
        <w:rPr>
          <w:rFonts w:ascii="Century" w:hAnsi="Century" w:cs="Miriam"/>
          <w:b/>
          <w:spacing w:val="0"/>
          <w:sz w:val="22"/>
          <w:szCs w:val="24"/>
          <w:rtl/>
        </w:rPr>
        <w:t xml:space="preserve"> </w:t>
      </w:r>
      <w:r w:rsidRPr="006D570B">
        <w:rPr>
          <w:rFonts w:ascii="Century" w:hAnsi="Century" w:cs="Miriam" w:hint="eastAsia"/>
          <w:b/>
          <w:spacing w:val="0"/>
          <w:sz w:val="22"/>
          <w:szCs w:val="24"/>
          <w:rtl/>
        </w:rPr>
        <w:t>לאישור</w:t>
      </w:r>
      <w:r w:rsidRPr="006D570B">
        <w:rPr>
          <w:rFonts w:ascii="Century" w:hAnsi="Century" w:cs="Miriam"/>
          <w:b/>
          <w:spacing w:val="0"/>
          <w:sz w:val="22"/>
          <w:szCs w:val="24"/>
          <w:rtl/>
        </w:rPr>
        <w:t xml:space="preserve"> </w:t>
      </w:r>
      <w:r w:rsidRPr="006D570B">
        <w:rPr>
          <w:rFonts w:ascii="Century" w:hAnsi="Century" w:cs="Miriam" w:hint="eastAsia"/>
          <w:b/>
          <w:spacing w:val="0"/>
          <w:sz w:val="22"/>
          <w:szCs w:val="24"/>
          <w:rtl/>
        </w:rPr>
        <w:t>הסכמים</w:t>
      </w:r>
      <w:r w:rsidRPr="006D570B">
        <w:rPr>
          <w:rFonts w:ascii="Century" w:hAnsi="Century" w:cs="Miriam"/>
          <w:b/>
          <w:spacing w:val="0"/>
          <w:sz w:val="22"/>
          <w:szCs w:val="24"/>
          <w:rtl/>
        </w:rPr>
        <w:t xml:space="preserve"> </w:t>
      </w:r>
      <w:r w:rsidRPr="006D570B">
        <w:rPr>
          <w:rFonts w:ascii="Century" w:hAnsi="Century" w:cs="Miriam" w:hint="eastAsia"/>
          <w:b/>
          <w:spacing w:val="0"/>
          <w:sz w:val="22"/>
          <w:szCs w:val="24"/>
          <w:rtl/>
        </w:rPr>
        <w:t>לנשיאת</w:t>
      </w:r>
      <w:r w:rsidRPr="006D570B">
        <w:rPr>
          <w:rFonts w:ascii="Century" w:hAnsi="Century" w:cs="Miriam"/>
          <w:b/>
          <w:spacing w:val="0"/>
          <w:sz w:val="22"/>
          <w:szCs w:val="24"/>
          <w:rtl/>
        </w:rPr>
        <w:t xml:space="preserve"> </w:t>
      </w:r>
      <w:r w:rsidRPr="006D570B">
        <w:rPr>
          <w:rFonts w:ascii="Century" w:hAnsi="Century" w:cs="Miriam" w:hint="eastAsia"/>
          <w:b/>
          <w:spacing w:val="0"/>
          <w:sz w:val="22"/>
          <w:szCs w:val="24"/>
          <w:rtl/>
        </w:rPr>
        <w:t>עוברים</w:t>
      </w:r>
      <w:r w:rsidRPr="002B476D">
        <w:rPr>
          <w:rtl/>
        </w:rPr>
        <w:t xml:space="preserve">, </w:t>
      </w:r>
      <w:r w:rsidRPr="002B476D">
        <w:rPr>
          <w:rFonts w:hint="eastAsia"/>
          <w:rtl/>
        </w:rPr>
        <w:t>פ</w:t>
      </w:r>
      <w:r w:rsidRPr="002B476D">
        <w:rPr>
          <w:rtl/>
        </w:rPr>
        <w:t>"</w:t>
      </w:r>
      <w:r w:rsidRPr="002B476D">
        <w:rPr>
          <w:rFonts w:hint="eastAsia"/>
          <w:rtl/>
        </w:rPr>
        <w:t>ד</w:t>
      </w:r>
      <w:r w:rsidRPr="002B476D">
        <w:rPr>
          <w:rtl/>
        </w:rPr>
        <w:t xml:space="preserve"> </w:t>
      </w:r>
      <w:proofErr w:type="spellStart"/>
      <w:r w:rsidRPr="002B476D">
        <w:rPr>
          <w:rFonts w:hint="eastAsia"/>
          <w:rtl/>
        </w:rPr>
        <w:t>נז</w:t>
      </w:r>
      <w:proofErr w:type="spellEnd"/>
      <w:r w:rsidRPr="002B476D">
        <w:rPr>
          <w:rtl/>
        </w:rPr>
        <w:t xml:space="preserve">(1) 419, </w:t>
      </w:r>
      <w:r>
        <w:rPr>
          <w:rFonts w:hint="cs"/>
          <w:rtl/>
        </w:rPr>
        <w:t>452-450</w:t>
      </w:r>
      <w:r w:rsidRPr="002B476D">
        <w:rPr>
          <w:rtl/>
        </w:rPr>
        <w:t xml:space="preserve"> (2002)</w:t>
      </w:r>
      <w:r>
        <w:rPr>
          <w:rFonts w:hint="cs"/>
          <w:rtl/>
        </w:rPr>
        <w:t xml:space="preserve">; ע"א 2266/93 </w:t>
      </w:r>
      <w:r w:rsidRPr="006D570B">
        <w:rPr>
          <w:rFonts w:ascii="Century" w:hAnsi="Century" w:cs="Miriam" w:hint="cs"/>
          <w:b/>
          <w:spacing w:val="0"/>
          <w:sz w:val="22"/>
          <w:szCs w:val="24"/>
          <w:rtl/>
        </w:rPr>
        <w:t>פלוני נ' פלוני</w:t>
      </w:r>
      <w:r>
        <w:rPr>
          <w:rFonts w:hint="cs"/>
          <w:rtl/>
        </w:rPr>
        <w:t xml:space="preserve">, פ"ד מט(1) 221, 251 (1995)). </w:t>
      </w:r>
      <w:r w:rsidRPr="006D570B">
        <w:rPr>
          <w:rFonts w:ascii="FrankRuehl" w:hAnsi="FrankRuehl" w:hint="cs"/>
          <w:color w:val="000000"/>
          <w:rtl/>
        </w:rPr>
        <w:t xml:space="preserve">גם אם אין </w:t>
      </w:r>
      <w:r w:rsidRPr="006D570B">
        <w:rPr>
          <w:rFonts w:ascii="FrankRuehl" w:hAnsi="FrankRuehl"/>
          <w:color w:val="000000"/>
          <w:rtl/>
        </w:rPr>
        <w:t>להתעלם מתפיסות חברתיות העשויות להשפיע על הילד</w:t>
      </w:r>
      <w:r>
        <w:rPr>
          <w:rFonts w:hint="cs"/>
          <w:rtl/>
        </w:rPr>
        <w:t xml:space="preserve">, יש לבחון טענות </w:t>
      </w:r>
      <w:r w:rsidRPr="00353D6B">
        <w:rPr>
          <w:rFonts w:hint="cs"/>
          <w:rtl/>
        </w:rPr>
        <w:t>המבקשות לבסס את טובת</w:t>
      </w:r>
      <w:r>
        <w:rPr>
          <w:rFonts w:hint="cs"/>
          <w:rtl/>
        </w:rPr>
        <w:t xml:space="preserve"> הילד</w:t>
      </w:r>
      <w:r w:rsidRPr="00353D6B">
        <w:rPr>
          <w:rFonts w:hint="cs"/>
          <w:rtl/>
        </w:rPr>
        <w:t xml:space="preserve"> על "תפיסות חברתיות" הנחשדות כסטראוטיפיות, ביתר קפדנות. </w:t>
      </w:r>
    </w:p>
    <w:p w:rsidR="00234FA8" w:rsidRPr="00F10535" w:rsidRDefault="00234FA8" w:rsidP="00234FA8">
      <w:pPr>
        <w:pStyle w:val="Ruller41"/>
      </w:pPr>
    </w:p>
    <w:p w:rsidR="00234FA8" w:rsidRDefault="00234FA8" w:rsidP="00234FA8">
      <w:pPr>
        <w:pStyle w:val="Ruller4"/>
        <w:rPr>
          <w:rtl/>
        </w:rPr>
      </w:pPr>
      <w:r>
        <w:rPr>
          <w:rFonts w:hint="cs"/>
          <w:rtl/>
        </w:rPr>
        <w:t xml:space="preserve">משנמצא כי תכלית החקיקה </w:t>
      </w:r>
      <w:r>
        <w:rPr>
          <w:rtl/>
        </w:rPr>
        <w:t>–</w:t>
      </w:r>
      <w:r>
        <w:rPr>
          <w:rFonts w:hint="cs"/>
          <w:rtl/>
        </w:rPr>
        <w:t xml:space="preserve"> היא טובת הילד </w:t>
      </w:r>
      <w:r>
        <w:rPr>
          <w:rtl/>
        </w:rPr>
        <w:t>–</w:t>
      </w:r>
      <w:r>
        <w:rPr>
          <w:rFonts w:hint="cs"/>
          <w:rtl/>
        </w:rPr>
        <w:t xml:space="preserve"> תומכת בפרשנות המאפשרת לזוגות חד-מיניים לאמץ במסגרת מסלול האימוץ הראשון </w:t>
      </w:r>
      <w:r>
        <w:rPr>
          <w:rtl/>
        </w:rPr>
        <w:t>–</w:t>
      </w:r>
      <w:r>
        <w:rPr>
          <w:rFonts w:hint="cs"/>
          <w:rtl/>
        </w:rPr>
        <w:t xml:space="preserve"> איני סבורה כי קיימת מניעה לשונית לאימוץ פרשנות כזו. הביטוי "איש ואשתו" מתייחס, על פניו, לזוג הטרוסקסואלי המורכב מ"איש" ו"</w:t>
      </w:r>
      <w:r w:rsidRPr="00CA4527">
        <w:rPr>
          <w:rFonts w:hint="cs"/>
          <w:rtl/>
        </w:rPr>
        <w:t>אישה". עם זאת, כמו חבריי אני סבורה כי תיבה זו באה ל</w:t>
      </w:r>
      <w:r>
        <w:rPr>
          <w:rFonts w:hint="cs"/>
          <w:rtl/>
        </w:rPr>
        <w:t xml:space="preserve">הבחין בין </w:t>
      </w:r>
      <w:r w:rsidRPr="00CA4527">
        <w:rPr>
          <w:rFonts w:hint="cs"/>
          <w:rtl/>
        </w:rPr>
        <w:t xml:space="preserve">אימוץ </w:t>
      </w:r>
      <w:r w:rsidRPr="003D3F55">
        <w:rPr>
          <w:rFonts w:ascii="Century" w:hAnsi="Century" w:cs="Miriam" w:hint="cs"/>
          <w:b/>
          <w:spacing w:val="0"/>
          <w:sz w:val="22"/>
          <w:szCs w:val="24"/>
          <w:rtl/>
        </w:rPr>
        <w:t xml:space="preserve">זוגי </w:t>
      </w:r>
      <w:r>
        <w:rPr>
          <w:rFonts w:hint="cs"/>
          <w:rtl/>
        </w:rPr>
        <w:t>לבין</w:t>
      </w:r>
      <w:r w:rsidRPr="00CA4527">
        <w:rPr>
          <w:rFonts w:hint="cs"/>
          <w:rtl/>
        </w:rPr>
        <w:t xml:space="preserve"> אימוץ </w:t>
      </w:r>
      <w:r w:rsidRPr="003D3F55">
        <w:rPr>
          <w:rFonts w:ascii="Century" w:hAnsi="Century" w:cs="Miriam" w:hint="cs"/>
          <w:b/>
          <w:spacing w:val="0"/>
          <w:sz w:val="22"/>
          <w:szCs w:val="24"/>
          <w:rtl/>
        </w:rPr>
        <w:t>יחידני</w:t>
      </w:r>
      <w:r w:rsidRPr="00CA4527">
        <w:rPr>
          <w:rFonts w:hint="cs"/>
          <w:rtl/>
        </w:rPr>
        <w:t>, ולפיכך יש</w:t>
      </w:r>
      <w:r>
        <w:rPr>
          <w:rFonts w:hint="cs"/>
          <w:rtl/>
        </w:rPr>
        <w:t xml:space="preserve"> לראותה  כמתייחסת גם לבני זוג שהם "אישה ואישה" או "איש ואיש". </w:t>
      </w:r>
    </w:p>
    <w:p w:rsidR="00234FA8" w:rsidRPr="007803BC" w:rsidRDefault="00234FA8" w:rsidP="00234FA8">
      <w:pPr>
        <w:pStyle w:val="Ruller41"/>
      </w:pPr>
    </w:p>
    <w:p w:rsidR="00234FA8" w:rsidRDefault="00234FA8" w:rsidP="002749AC">
      <w:pPr>
        <w:pStyle w:val="Ruller4"/>
        <w:numPr>
          <w:ilvl w:val="0"/>
          <w:numId w:val="0"/>
        </w:numPr>
      </w:pPr>
      <w:r>
        <w:rPr>
          <w:rtl/>
        </w:rPr>
        <w:tab/>
      </w:r>
      <w:r>
        <w:rPr>
          <w:rFonts w:hint="cs"/>
          <w:rtl/>
        </w:rPr>
        <w:t xml:space="preserve">בהקשר זה, אבקש להסתייע בהלכה הפרשנית הנהוגה עמנו, הנוגעת לשינויי העיתים. כידוע, המשפט אינו קופא על שמריו. אחד מתפקידיו של בית המשפט בבואו לפרש את החוק, הוא להתאימו לתופעות החיים שבאו לעולם לאחר חקיקתו </w:t>
      </w:r>
      <w:r>
        <w:rPr>
          <w:rtl/>
        </w:rPr>
        <w:t>–</w:t>
      </w:r>
      <w:r>
        <w:rPr>
          <w:rFonts w:hint="cs"/>
          <w:rtl/>
        </w:rPr>
        <w:t xml:space="preserve"> ובלבד שהדברים מתיישבים עם תכלית החקיקה (ראו: עניין </w:t>
      </w:r>
      <w:proofErr w:type="spellStart"/>
      <w:r w:rsidRPr="003D3F55">
        <w:rPr>
          <w:rFonts w:ascii="Century" w:hAnsi="Century" w:cs="Miriam" w:hint="cs"/>
          <w:b/>
          <w:spacing w:val="0"/>
          <w:szCs w:val="24"/>
          <w:rtl/>
        </w:rPr>
        <w:t>ירוס</w:t>
      </w:r>
      <w:proofErr w:type="spellEnd"/>
      <w:r w:rsidRPr="003D3F55">
        <w:rPr>
          <w:rFonts w:ascii="Century" w:hAnsi="Century" w:cs="Miriam" w:hint="cs"/>
          <w:b/>
          <w:spacing w:val="0"/>
          <w:szCs w:val="24"/>
          <w:rtl/>
        </w:rPr>
        <w:t>-חקק</w:t>
      </w:r>
      <w:r>
        <w:rPr>
          <w:rFonts w:hint="cs"/>
          <w:rtl/>
        </w:rPr>
        <w:t xml:space="preserve">, בעמ' 134. וראו גם: חיים כהן </w:t>
      </w:r>
      <w:r w:rsidRPr="00400748">
        <w:rPr>
          <w:rFonts w:ascii="Century" w:hAnsi="Century" w:cs="Miriam" w:hint="cs"/>
          <w:b/>
          <w:spacing w:val="0"/>
          <w:sz w:val="22"/>
          <w:szCs w:val="24"/>
          <w:rtl/>
        </w:rPr>
        <w:t>המשפט</w:t>
      </w:r>
      <w:r>
        <w:rPr>
          <w:rFonts w:hint="cs"/>
          <w:rtl/>
        </w:rPr>
        <w:t xml:space="preserve"> 210 (</w:t>
      </w:r>
      <w:proofErr w:type="spellStart"/>
      <w:r>
        <w:rPr>
          <w:rFonts w:hint="cs"/>
          <w:rtl/>
        </w:rPr>
        <w:t>התשנ"ב</w:t>
      </w:r>
      <w:proofErr w:type="spellEnd"/>
      <w:r>
        <w:rPr>
          <w:rFonts w:hint="cs"/>
          <w:rtl/>
        </w:rPr>
        <w:t>))</w:t>
      </w:r>
      <w:r>
        <w:rPr>
          <w:rtl/>
        </w:rPr>
        <w:t>.</w:t>
      </w:r>
      <w:r>
        <w:rPr>
          <w:rFonts w:hint="cs"/>
          <w:rtl/>
        </w:rPr>
        <w:t xml:space="preserve"> החוק אמנם נחקק בעבר, אך הוא נועד </w:t>
      </w:r>
      <w:proofErr w:type="spellStart"/>
      <w:r>
        <w:rPr>
          <w:rFonts w:hint="cs"/>
          <w:rtl/>
        </w:rPr>
        <w:t>ליתן</w:t>
      </w:r>
      <w:proofErr w:type="spellEnd"/>
      <w:r>
        <w:rPr>
          <w:rFonts w:hint="cs"/>
          <w:rtl/>
        </w:rPr>
        <w:t xml:space="preserve"> מענה גם לבעיות העתיד. מענה כזה מתאפשר, בין היתר, על-ידי מתן פרשנות תכליתית המתאימה את החוק לשינויים החברתיים שחלו לאחר חקיקתו ולתנאי החיים הדינאמיים. מכאן </w:t>
      </w:r>
      <w:r>
        <w:rPr>
          <w:rFonts w:hint="cs"/>
          <w:rtl/>
        </w:rPr>
        <w:lastRenderedPageBreak/>
        <w:t xml:space="preserve">האמרה שלפיה "החוק חכם מהמחוקק" </w:t>
      </w:r>
      <w:r>
        <w:rPr>
          <w:rtl/>
        </w:rPr>
        <w:t>–</w:t>
      </w:r>
      <w:r>
        <w:rPr>
          <w:rFonts w:hint="cs"/>
          <w:rtl/>
        </w:rPr>
        <w:t xml:space="preserve"> להבדיל מהמחוקק, הפועל ברגע מסוים בזמן, פועלו של החוק הוא על-זמני, במובן זה שהוא נותר על כנו ומפורש גם שנים לאחר חקיקתו לרקע מציאות החיים המשתנה (ראו: בג"ץ 693/91 </w:t>
      </w:r>
      <w:r w:rsidRPr="00387E84">
        <w:rPr>
          <w:rFonts w:ascii="Century" w:hAnsi="Century" w:cs="Miriam" w:hint="cs"/>
          <w:b/>
          <w:spacing w:val="0"/>
          <w:szCs w:val="24"/>
          <w:rtl/>
        </w:rPr>
        <w:t>אפרת נ' הממונה על מרשם האוכלוסין במשרד הפנים</w:t>
      </w:r>
      <w:r>
        <w:rPr>
          <w:rFonts w:hint="cs"/>
          <w:rtl/>
        </w:rPr>
        <w:t xml:space="preserve">, פ"ד </w:t>
      </w:r>
      <w:proofErr w:type="spellStart"/>
      <w:r>
        <w:rPr>
          <w:rFonts w:hint="cs"/>
          <w:rtl/>
        </w:rPr>
        <w:t>מז</w:t>
      </w:r>
      <w:proofErr w:type="spellEnd"/>
      <w:r>
        <w:rPr>
          <w:rFonts w:hint="cs"/>
          <w:rtl/>
        </w:rPr>
        <w:t xml:space="preserve">(1) 749, 764 ו-796 (1993)); אהרן ברק </w:t>
      </w:r>
      <w:r w:rsidRPr="003D3F55">
        <w:rPr>
          <w:rFonts w:ascii="Century" w:hAnsi="Century" w:cs="Miriam" w:hint="cs"/>
          <w:b/>
          <w:spacing w:val="0"/>
          <w:szCs w:val="24"/>
          <w:rtl/>
        </w:rPr>
        <w:t xml:space="preserve">פרשנות במשפט </w:t>
      </w:r>
      <w:r w:rsidRPr="003D3F55">
        <w:rPr>
          <w:rFonts w:ascii="Century" w:hAnsi="Century" w:cs="Miriam"/>
          <w:b/>
          <w:spacing w:val="0"/>
          <w:szCs w:val="24"/>
          <w:rtl/>
        </w:rPr>
        <w:t>–</w:t>
      </w:r>
      <w:r w:rsidRPr="003D3F55">
        <w:rPr>
          <w:rFonts w:ascii="Century" w:hAnsi="Century" w:cs="Miriam" w:hint="cs"/>
          <w:b/>
          <w:spacing w:val="0"/>
          <w:szCs w:val="24"/>
          <w:rtl/>
        </w:rPr>
        <w:t xml:space="preserve"> פרשנות החקיקה </w:t>
      </w:r>
      <w:r>
        <w:rPr>
          <w:rFonts w:hint="cs"/>
          <w:rtl/>
        </w:rPr>
        <w:t>267-264, 604-603</w:t>
      </w:r>
      <w:r w:rsidRPr="003D3F55">
        <w:rPr>
          <w:rFonts w:ascii="Century" w:hAnsi="Century" w:hint="cs"/>
          <w:rtl/>
        </w:rPr>
        <w:t xml:space="preserve"> (</w:t>
      </w:r>
      <w:proofErr w:type="spellStart"/>
      <w:r w:rsidRPr="003D3F55">
        <w:rPr>
          <w:rFonts w:ascii="Century" w:hAnsi="Century" w:hint="cs"/>
          <w:rtl/>
        </w:rPr>
        <w:t>התשנ"ג</w:t>
      </w:r>
      <w:proofErr w:type="spellEnd"/>
      <w:r w:rsidRPr="003D3F55">
        <w:rPr>
          <w:rFonts w:ascii="Century" w:hAnsi="Century" w:hint="cs"/>
          <w:rtl/>
        </w:rPr>
        <w:t>)</w:t>
      </w:r>
      <w:r>
        <w:rPr>
          <w:rFonts w:ascii="Century" w:hAnsi="Century" w:hint="cs"/>
          <w:rtl/>
        </w:rPr>
        <w:t>;</w:t>
      </w:r>
      <w:r w:rsidRPr="003D3F55">
        <w:rPr>
          <w:rFonts w:ascii="Century" w:hAnsi="Century" w:cs="Miriam" w:hint="cs"/>
          <w:b/>
          <w:spacing w:val="0"/>
          <w:szCs w:val="24"/>
          <w:rtl/>
        </w:rPr>
        <w:t xml:space="preserve"> </w:t>
      </w:r>
      <w:r w:rsidRPr="004402EE">
        <w:rPr>
          <w:rFonts w:hint="cs"/>
          <w:rtl/>
        </w:rPr>
        <w:t>בג"ץ 428/86</w:t>
      </w:r>
      <w:r w:rsidRPr="003D3F55">
        <w:rPr>
          <w:rFonts w:ascii="Century" w:hAnsi="Century" w:cs="Miriam" w:hint="cs"/>
          <w:b/>
          <w:spacing w:val="0"/>
          <w:szCs w:val="24"/>
          <w:rtl/>
        </w:rPr>
        <w:t xml:space="preserve"> עו"ד יצחק ברזילי נ' ממשלת ישראל, </w:t>
      </w:r>
      <w:r w:rsidRPr="004402EE">
        <w:rPr>
          <w:rFonts w:hint="cs"/>
          <w:rtl/>
        </w:rPr>
        <w:t>פ"ד מ(3) 505</w:t>
      </w:r>
      <w:r>
        <w:rPr>
          <w:rFonts w:hint="cs"/>
          <w:rtl/>
        </w:rPr>
        <w:t xml:space="preserve">, 619 (1986); </w:t>
      </w:r>
      <w:r w:rsidRPr="003D3F55">
        <w:rPr>
          <w:rFonts w:ascii="FrankRuehl" w:hAnsi="FrankRuehl"/>
          <w:color w:val="000000"/>
          <w:sz w:val="28"/>
          <w:rtl/>
        </w:rPr>
        <w:t xml:space="preserve">דנ"א 6407/01‏ </w:t>
      </w:r>
      <w:r w:rsidRPr="003D3F55">
        <w:rPr>
          <w:rFonts w:ascii="Century" w:hAnsi="Century" w:cs="Miriam"/>
          <w:b/>
          <w:spacing w:val="0"/>
          <w:szCs w:val="24"/>
          <w:rtl/>
        </w:rPr>
        <w:t>ערוצי זהב ושות' נ'</w:t>
      </w:r>
      <w:r w:rsidRPr="003D3F55">
        <w:rPr>
          <w:rFonts w:ascii="FrankRuehl" w:hAnsi="FrankRuehl"/>
          <w:color w:val="000000"/>
          <w:sz w:val="28"/>
          <w:rtl/>
        </w:rPr>
        <w:t xml:space="preserve"> ‏</w:t>
      </w:r>
      <w:r w:rsidRPr="003D3F55">
        <w:rPr>
          <w:rFonts w:ascii="FrankRuehl" w:hAnsi="FrankRuehl"/>
          <w:color w:val="000000"/>
          <w:szCs w:val="24"/>
        </w:rPr>
        <w:t>Tele</w:t>
      </w:r>
      <w:r w:rsidRPr="003D3F55">
        <w:rPr>
          <w:rFonts w:ascii="FrankRuehl" w:hAnsi="FrankRuehl"/>
          <w:color w:val="000000"/>
          <w:sz w:val="28"/>
        </w:rPr>
        <w:t xml:space="preserve"> </w:t>
      </w:r>
      <w:r w:rsidRPr="003D3F55">
        <w:rPr>
          <w:rFonts w:ascii="FrankRuehl" w:hAnsi="FrankRuehl"/>
          <w:color w:val="000000"/>
          <w:szCs w:val="24"/>
        </w:rPr>
        <w:t>Event Ltd.</w:t>
      </w:r>
      <w:r w:rsidRPr="003D3F55">
        <w:rPr>
          <w:rFonts w:ascii="FrankRuehl" w:hAnsi="FrankRuehl" w:hint="cs"/>
          <w:color w:val="000000"/>
          <w:szCs w:val="24"/>
          <w:cs/>
        </w:rPr>
        <w:t>‎</w:t>
      </w:r>
      <w:r w:rsidRPr="003D3F55">
        <w:rPr>
          <w:rFonts w:ascii="FrankRuehl" w:hAnsi="FrankRuehl"/>
          <w:color w:val="000000"/>
          <w:szCs w:val="24"/>
        </w:rPr>
        <w:t> </w:t>
      </w:r>
      <w:r w:rsidRPr="003D3F55">
        <w:rPr>
          <w:rFonts w:ascii="FrankRuehl" w:hAnsi="FrankRuehl" w:hint="cs"/>
          <w:color w:val="000000"/>
          <w:sz w:val="28"/>
          <w:rtl/>
        </w:rPr>
        <w:t xml:space="preserve">, </w:t>
      </w:r>
      <w:proofErr w:type="spellStart"/>
      <w:r w:rsidRPr="003D3F55">
        <w:rPr>
          <w:rFonts w:ascii="FrankRuehl" w:hAnsi="FrankRuehl"/>
          <w:color w:val="000000"/>
          <w:sz w:val="28"/>
          <w:rtl/>
        </w:rPr>
        <w:t>פ''ד</w:t>
      </w:r>
      <w:proofErr w:type="spellEnd"/>
      <w:r w:rsidRPr="003D3F55">
        <w:rPr>
          <w:rFonts w:ascii="FrankRuehl" w:hAnsi="FrankRuehl" w:hint="cs"/>
          <w:color w:val="000000"/>
          <w:sz w:val="28"/>
          <w:rtl/>
        </w:rPr>
        <w:t xml:space="preserve"> נח</w:t>
      </w:r>
      <w:r>
        <w:rPr>
          <w:rFonts w:hint="cs"/>
          <w:rtl/>
        </w:rPr>
        <w:t>(6) 6, 24-23 (2004);</w:t>
      </w:r>
      <w:r>
        <w:rPr>
          <w:rFonts w:hint="cs"/>
        </w:rPr>
        <w:t xml:space="preserve"> </w:t>
      </w:r>
      <w:proofErr w:type="spellStart"/>
      <w:r>
        <w:rPr>
          <w:rFonts w:hint="cs"/>
          <w:rtl/>
        </w:rPr>
        <w:t>דנג"ץ</w:t>
      </w:r>
      <w:proofErr w:type="spellEnd"/>
      <w:r>
        <w:rPr>
          <w:rFonts w:hint="cs"/>
          <w:rtl/>
        </w:rPr>
        <w:t xml:space="preserve"> 5026/16 </w:t>
      </w:r>
      <w:proofErr w:type="spellStart"/>
      <w:r w:rsidRPr="003D3F55">
        <w:rPr>
          <w:rFonts w:ascii="Century" w:hAnsi="Century" w:cs="Miriam" w:hint="cs"/>
          <w:b/>
          <w:spacing w:val="0"/>
          <w:szCs w:val="24"/>
          <w:rtl/>
        </w:rPr>
        <w:t>גיני</w:t>
      </w:r>
      <w:proofErr w:type="spellEnd"/>
      <w:r w:rsidRPr="003D3F55">
        <w:rPr>
          <w:rFonts w:ascii="Century" w:hAnsi="Century" w:cs="Miriam" w:hint="cs"/>
          <w:b/>
          <w:spacing w:val="0"/>
          <w:szCs w:val="24"/>
          <w:rtl/>
        </w:rPr>
        <w:t xml:space="preserve"> נ' הרבנות הראשית לישראל</w:t>
      </w:r>
      <w:r>
        <w:rPr>
          <w:rFonts w:hint="cs"/>
          <w:rtl/>
        </w:rPr>
        <w:t xml:space="preserve">, פסקאות 5-4 לפסק דינו של השופט </w:t>
      </w:r>
      <w:r w:rsidRPr="003D3F55">
        <w:rPr>
          <w:rFonts w:ascii="Century" w:hAnsi="Century" w:cs="Miriam" w:hint="cs"/>
          <w:b/>
          <w:spacing w:val="0"/>
          <w:szCs w:val="24"/>
          <w:rtl/>
        </w:rPr>
        <w:t>ס' ג'ובראן</w:t>
      </w:r>
      <w:r w:rsidRPr="00596610">
        <w:rPr>
          <w:rFonts w:hint="cs"/>
          <w:rtl/>
        </w:rPr>
        <w:t xml:space="preserve"> </w:t>
      </w:r>
      <w:r>
        <w:rPr>
          <w:rFonts w:hint="cs"/>
          <w:rtl/>
        </w:rPr>
        <w:t xml:space="preserve">(12.9.2017)).   </w:t>
      </w:r>
      <w:r>
        <w:rPr>
          <w:rtl/>
        </w:rPr>
        <w:br/>
      </w:r>
    </w:p>
    <w:p w:rsidR="00234FA8" w:rsidRDefault="00234FA8" w:rsidP="00234FA8">
      <w:pPr>
        <w:pStyle w:val="Ruller4"/>
        <w:numPr>
          <w:ilvl w:val="0"/>
          <w:numId w:val="0"/>
        </w:numPr>
      </w:pPr>
      <w:r>
        <w:rPr>
          <w:rtl/>
        </w:rPr>
        <w:tab/>
      </w:r>
      <w:r>
        <w:rPr>
          <w:rFonts w:hint="cs"/>
          <w:rtl/>
        </w:rPr>
        <w:t xml:space="preserve">כלי פרשני נוסף שעשוי לעמוד לנו לעזר, הוא פרשנות החוק לאורם של דברי חקיקה אחרים המצויים ב"סביבתו" המשפטית של החוק, לרבות כאלה שנחקקו לאחר חקיקתו, ואופן פרשנותם על-ידי בית המשפט. דברי חקיקה אלה, ופרשנותם, עשויים ללמד על שינויים </w:t>
      </w:r>
      <w:r w:rsidRPr="00063457">
        <w:rPr>
          <w:rFonts w:hint="cs"/>
          <w:rtl/>
        </w:rPr>
        <w:t>תפיסתיים</w:t>
      </w:r>
      <w:r>
        <w:rPr>
          <w:rFonts w:hint="cs"/>
          <w:rtl/>
        </w:rPr>
        <w:t xml:space="preserve"> שחלו בדין ובהלכה מאז חקיקת החוק, המשליכים על פרשנותו. כך נאמרו הדברים על-ידי בית משפט זה:</w:t>
      </w:r>
    </w:p>
    <w:p w:rsidR="00234FA8" w:rsidRDefault="00234FA8" w:rsidP="00234FA8">
      <w:pPr>
        <w:pStyle w:val="Ruller4"/>
        <w:numPr>
          <w:ilvl w:val="0"/>
          <w:numId w:val="0"/>
        </w:numPr>
        <w:rPr>
          <w:rtl/>
        </w:rPr>
      </w:pPr>
      <w:r>
        <w:rPr>
          <w:rtl/>
        </w:rPr>
        <w:t xml:space="preserve"> </w:t>
      </w:r>
    </w:p>
    <w:p w:rsidR="00234FA8" w:rsidRDefault="00234FA8" w:rsidP="00234FA8">
      <w:pPr>
        <w:pStyle w:val="Ruller5"/>
        <w:rPr>
          <w:rtl/>
        </w:rPr>
      </w:pPr>
      <w:r>
        <w:rPr>
          <w:rFonts w:hint="cs"/>
          <w:rtl/>
        </w:rPr>
        <w:t>"</w:t>
      </w:r>
      <w:r>
        <w:rPr>
          <w:rtl/>
        </w:rPr>
        <w:t xml:space="preserve">לעתים יוצר חוק, עם חקיקתו, מספר אופציות פרשניות, אך במשך השנים, ועם חקיקתם של חוקים נוספים באותה סוגיה, הופכות חלק מהאופציות לבלתי אפשריות, ואילו אופציות חדשות קמות. דומה, כי יפים כאן דבריו של השופט זוסמן, לפיהם </w:t>
      </w:r>
      <w:r>
        <w:rPr>
          <w:rFonts w:hint="cs"/>
          <w:rtl/>
        </w:rPr>
        <w:t>'</w:t>
      </w:r>
      <w:r>
        <w:rPr>
          <w:rtl/>
        </w:rPr>
        <w:t>דיבור שבחיקוק הוא יצור החי בסביבתו</w:t>
      </w:r>
      <w:r>
        <w:rPr>
          <w:rFonts w:hint="cs"/>
          <w:rtl/>
        </w:rPr>
        <w:t>' (בג"צ 58/68</w:t>
      </w:r>
      <w:r>
        <w:rPr>
          <w:rtl/>
        </w:rPr>
        <w:t>, בעמ'</w:t>
      </w:r>
      <w:r>
        <w:rPr>
          <w:rFonts w:hint="cs"/>
          <w:rtl/>
        </w:rPr>
        <w:t xml:space="preserve"> 513</w:t>
      </w:r>
      <w:r>
        <w:rPr>
          <w:rtl/>
        </w:rPr>
        <w:t xml:space="preserve">). סביבה זו כוללת, בצד הוראות אחרות באותו דבר חקיקה, גם דברי חקיקה אחרים, המשליכים אור על פרשנותו של החוק. ודוק: דברי החקיקה הנוספים לא הביאו לשינוי </w:t>
      </w:r>
      <w:r>
        <w:rPr>
          <w:rFonts w:hint="cs"/>
          <w:rtl/>
        </w:rPr>
        <w:t>'</w:t>
      </w:r>
      <w:r>
        <w:rPr>
          <w:rtl/>
        </w:rPr>
        <w:t>חקיקתי</w:t>
      </w:r>
      <w:r>
        <w:rPr>
          <w:rFonts w:hint="cs"/>
          <w:rtl/>
        </w:rPr>
        <w:t>'</w:t>
      </w:r>
      <w:r>
        <w:rPr>
          <w:rtl/>
        </w:rPr>
        <w:t xml:space="preserve"> בחוק, אך הם הביאו לשינוי </w:t>
      </w:r>
      <w:r>
        <w:rPr>
          <w:rFonts w:hint="cs"/>
          <w:rtl/>
        </w:rPr>
        <w:t>'</w:t>
      </w:r>
      <w:r>
        <w:rPr>
          <w:rtl/>
        </w:rPr>
        <w:t>פרשני</w:t>
      </w:r>
      <w:r>
        <w:rPr>
          <w:rFonts w:hint="cs"/>
          <w:rtl/>
        </w:rPr>
        <w:t>'</w:t>
      </w:r>
      <w:r>
        <w:rPr>
          <w:rtl/>
        </w:rPr>
        <w:t xml:space="preserve"> בחוק. דברי החקיקה החדשים יצרו </w:t>
      </w:r>
      <w:r>
        <w:rPr>
          <w:rFonts w:hint="cs"/>
          <w:rtl/>
        </w:rPr>
        <w:t>'</w:t>
      </w:r>
      <w:r>
        <w:rPr>
          <w:rtl/>
        </w:rPr>
        <w:t>סביבה</w:t>
      </w:r>
      <w:r>
        <w:rPr>
          <w:rFonts w:hint="cs"/>
          <w:rtl/>
        </w:rPr>
        <w:t>'</w:t>
      </w:r>
      <w:r>
        <w:rPr>
          <w:rtl/>
        </w:rPr>
        <w:t xml:space="preserve"> חדשה, אשר בעצם קיומה משפיעה על האופן שבו מתפרש החוק</w:t>
      </w:r>
      <w:r>
        <w:rPr>
          <w:rFonts w:hint="cs"/>
          <w:rtl/>
        </w:rPr>
        <w:t xml:space="preserve">" (ע"א 214/81 </w:t>
      </w:r>
      <w:r w:rsidRPr="003D3F55">
        <w:rPr>
          <w:rFonts w:ascii="Century" w:hAnsi="Century" w:cs="Miriam" w:hint="cs"/>
          <w:b/>
          <w:spacing w:val="0"/>
          <w:szCs w:val="24"/>
          <w:rtl/>
        </w:rPr>
        <w:t>מדינת ישראל נ' פחימה</w:t>
      </w:r>
      <w:r>
        <w:rPr>
          <w:rFonts w:hint="cs"/>
          <w:rtl/>
        </w:rPr>
        <w:t>, פ"ד לט(4) 821, 828 (1985)).</w:t>
      </w:r>
    </w:p>
    <w:p w:rsidR="00234FA8" w:rsidRDefault="00234FA8" w:rsidP="00234FA8">
      <w:pPr>
        <w:pStyle w:val="Ruller5"/>
        <w:rPr>
          <w:rtl/>
        </w:rPr>
      </w:pPr>
    </w:p>
    <w:p w:rsidR="00234FA8" w:rsidRDefault="00234FA8" w:rsidP="00234FA8">
      <w:pPr>
        <w:pStyle w:val="Ruller5"/>
        <w:rPr>
          <w:rtl/>
        </w:rPr>
      </w:pPr>
    </w:p>
    <w:p w:rsidR="00234FA8" w:rsidRDefault="00234FA8" w:rsidP="00234FA8">
      <w:pPr>
        <w:pStyle w:val="Ruller4"/>
      </w:pPr>
      <w:r>
        <w:rPr>
          <w:rFonts w:hint="cs"/>
          <w:rtl/>
        </w:rPr>
        <w:t xml:space="preserve">בענייננו, הוראת סעיף 3 לחוק האימוץ נחקקה במקורה בשנת 1960, במסגרת חוק אימוץ ילדים, התש"ך-1960 (להלן: </w:t>
      </w:r>
      <w:r w:rsidRPr="00F032B1">
        <w:rPr>
          <w:rFonts w:ascii="Century" w:hAnsi="Century" w:cs="Miriam" w:hint="cs"/>
          <w:b/>
          <w:spacing w:val="0"/>
          <w:sz w:val="22"/>
          <w:szCs w:val="24"/>
          <w:rtl/>
        </w:rPr>
        <w:t>החוק המקורי</w:t>
      </w:r>
      <w:r>
        <w:rPr>
          <w:rFonts w:hint="cs"/>
          <w:rtl/>
        </w:rPr>
        <w:t>). חוק האימוץ הנוכחי, אשר נחקק בשנת 1981 והחליף את החוק המקורי, לא שינה מלשונה של הוראה זו. כפי שציין חברי ממלא מקום הנשיא, במהלך הדיונים בכנסת על הצעת החוק המקורי, לא הוזכרה כלל האפשרות לאימוץ על-ידי בני זוג מאותו המין. וזאת, לא במקרה. עת נחקק החוק, לפני למעלה משישה עשורים, לא הייתה כלל מודעות, למצער לא כמו בימינו-אנו, לקיומו של דגם זוגי חד-</w:t>
      </w:r>
      <w:r w:rsidRPr="00103BB8">
        <w:rPr>
          <w:rFonts w:hint="cs"/>
          <w:rtl/>
        </w:rPr>
        <w:t>מיני, ואף חל איסור פלילי (שלא נאכף) על משכב זכר</w:t>
      </w:r>
      <w:r>
        <w:rPr>
          <w:rFonts w:hint="cs"/>
          <w:rtl/>
        </w:rPr>
        <w:t xml:space="preserve">, </w:t>
      </w:r>
      <w:r w:rsidRPr="00103BB8">
        <w:rPr>
          <w:rFonts w:hint="cs"/>
          <w:rtl/>
        </w:rPr>
        <w:t xml:space="preserve">איסור </w:t>
      </w:r>
      <w:r>
        <w:rPr>
          <w:rFonts w:hint="cs"/>
          <w:rtl/>
        </w:rPr>
        <w:t>שב</w:t>
      </w:r>
      <w:r w:rsidRPr="00103BB8">
        <w:rPr>
          <w:rFonts w:hint="cs"/>
          <w:rtl/>
        </w:rPr>
        <w:t xml:space="preserve">וטל לבסוף רק בשנת </w:t>
      </w:r>
      <w:r w:rsidRPr="009D59F6">
        <w:rPr>
          <w:rFonts w:hint="cs"/>
          <w:rtl/>
        </w:rPr>
        <w:t xml:space="preserve">1988 (ראו: ע"א (מחוזי נצרת) 3245/03 </w:t>
      </w:r>
      <w:r w:rsidRPr="009D59F6">
        <w:rPr>
          <w:rFonts w:ascii="Century" w:hAnsi="Century" w:cs="Miriam" w:hint="cs"/>
          <w:b/>
          <w:spacing w:val="0"/>
          <w:sz w:val="22"/>
          <w:szCs w:val="24"/>
          <w:rtl/>
        </w:rPr>
        <w:t xml:space="preserve">ירושת המנוח </w:t>
      </w:r>
      <w:proofErr w:type="spellStart"/>
      <w:r w:rsidRPr="009D59F6">
        <w:rPr>
          <w:rFonts w:ascii="Century" w:hAnsi="Century" w:cs="Miriam" w:hint="cs"/>
          <w:b/>
          <w:spacing w:val="0"/>
          <w:sz w:val="22"/>
          <w:szCs w:val="24"/>
          <w:rtl/>
        </w:rPr>
        <w:t>ש.ר</w:t>
      </w:r>
      <w:proofErr w:type="spellEnd"/>
      <w:r w:rsidRPr="009D59F6">
        <w:rPr>
          <w:rFonts w:ascii="Century" w:hAnsi="Century" w:cs="Miriam" w:hint="cs"/>
          <w:b/>
          <w:spacing w:val="0"/>
          <w:sz w:val="22"/>
          <w:szCs w:val="24"/>
          <w:rtl/>
        </w:rPr>
        <w:t xml:space="preserve"> ז"ל נ' האפוטרופוס הכללי</w:t>
      </w:r>
      <w:r w:rsidRPr="009D59F6">
        <w:rPr>
          <w:rFonts w:hint="cs"/>
          <w:rtl/>
        </w:rPr>
        <w:t xml:space="preserve">, פסקה 15 (11.11.2004) (להלן: עניין </w:t>
      </w:r>
      <w:r w:rsidRPr="009D59F6">
        <w:rPr>
          <w:rFonts w:ascii="Century" w:hAnsi="Century" w:cs="Miriam" w:hint="cs"/>
          <w:b/>
          <w:spacing w:val="0"/>
          <w:sz w:val="22"/>
          <w:szCs w:val="24"/>
          <w:rtl/>
        </w:rPr>
        <w:t xml:space="preserve">ירושת המנוח </w:t>
      </w:r>
      <w:proofErr w:type="spellStart"/>
      <w:r w:rsidRPr="009D59F6">
        <w:rPr>
          <w:rFonts w:ascii="Century" w:hAnsi="Century" w:cs="Miriam" w:hint="cs"/>
          <w:b/>
          <w:spacing w:val="0"/>
          <w:sz w:val="22"/>
          <w:szCs w:val="24"/>
          <w:rtl/>
        </w:rPr>
        <w:t>ש.ר</w:t>
      </w:r>
      <w:proofErr w:type="spellEnd"/>
      <w:r w:rsidRPr="009D59F6">
        <w:rPr>
          <w:rFonts w:hint="cs"/>
          <w:rtl/>
        </w:rPr>
        <w:t>). כן ראו:</w:t>
      </w:r>
      <w:r>
        <w:rPr>
          <w:rFonts w:hint="cs"/>
          <w:rtl/>
        </w:rPr>
        <w:t xml:space="preserve"> בג"ץ 721/94 </w:t>
      </w:r>
      <w:r w:rsidRPr="008C1276">
        <w:rPr>
          <w:rFonts w:ascii="Century" w:hAnsi="Century" w:cs="Miriam" w:hint="cs"/>
          <w:b/>
          <w:spacing w:val="0"/>
          <w:sz w:val="22"/>
          <w:szCs w:val="24"/>
          <w:rtl/>
        </w:rPr>
        <w:lastRenderedPageBreak/>
        <w:t xml:space="preserve">אל-על נתיבי אויר לישראל בע"מ נ' </w:t>
      </w:r>
      <w:proofErr w:type="spellStart"/>
      <w:r w:rsidRPr="008C1276">
        <w:rPr>
          <w:rFonts w:ascii="Century" w:hAnsi="Century" w:cs="Miriam" w:hint="cs"/>
          <w:b/>
          <w:spacing w:val="0"/>
          <w:sz w:val="22"/>
          <w:szCs w:val="24"/>
          <w:rtl/>
        </w:rPr>
        <w:t>דנילוביץ</w:t>
      </w:r>
      <w:proofErr w:type="spellEnd"/>
      <w:r>
        <w:rPr>
          <w:rFonts w:hint="cs"/>
          <w:rtl/>
        </w:rPr>
        <w:t xml:space="preserve">, פ"ד מח(5) 749, פסקה 8 לפסק דינה של השופטת </w:t>
      </w:r>
      <w:r>
        <w:rPr>
          <w:rFonts w:ascii="Century" w:hAnsi="Century" w:cs="Miriam" w:hint="cs"/>
          <w:b/>
          <w:spacing w:val="0"/>
          <w:sz w:val="22"/>
          <w:szCs w:val="24"/>
          <w:rtl/>
        </w:rPr>
        <w:t>ד</w:t>
      </w:r>
      <w:r w:rsidRPr="008C1276">
        <w:rPr>
          <w:rFonts w:ascii="Century" w:hAnsi="Century" w:cs="Miriam" w:hint="cs"/>
          <w:b/>
          <w:spacing w:val="0"/>
          <w:sz w:val="22"/>
          <w:szCs w:val="24"/>
          <w:rtl/>
        </w:rPr>
        <w:t xml:space="preserve">' </w:t>
      </w:r>
      <w:proofErr w:type="spellStart"/>
      <w:r>
        <w:rPr>
          <w:rFonts w:ascii="Century" w:hAnsi="Century" w:cs="Miriam" w:hint="cs"/>
          <w:b/>
          <w:spacing w:val="0"/>
          <w:sz w:val="22"/>
          <w:szCs w:val="24"/>
          <w:rtl/>
        </w:rPr>
        <w:t>דורנר</w:t>
      </w:r>
      <w:proofErr w:type="spellEnd"/>
      <w:r w:rsidRPr="008C1276">
        <w:rPr>
          <w:rFonts w:hint="cs"/>
          <w:rtl/>
        </w:rPr>
        <w:t xml:space="preserve"> </w:t>
      </w:r>
      <w:r>
        <w:rPr>
          <w:rFonts w:hint="cs"/>
          <w:rtl/>
        </w:rPr>
        <w:t xml:space="preserve">(1994) (להלן: עניין </w:t>
      </w:r>
      <w:proofErr w:type="spellStart"/>
      <w:r w:rsidRPr="00FF2BB8">
        <w:rPr>
          <w:rFonts w:ascii="Century" w:hAnsi="Century" w:cs="Miriam" w:hint="cs"/>
          <w:b/>
          <w:spacing w:val="0"/>
          <w:sz w:val="22"/>
          <w:szCs w:val="24"/>
          <w:rtl/>
        </w:rPr>
        <w:t>דנילוביץ</w:t>
      </w:r>
      <w:proofErr w:type="spellEnd"/>
      <w:r>
        <w:rPr>
          <w:rFonts w:hint="cs"/>
          <w:rtl/>
        </w:rPr>
        <w:t xml:space="preserve">)). במרוצת </w:t>
      </w:r>
      <w:r w:rsidRPr="001E1D38">
        <w:rPr>
          <w:rFonts w:hint="cs"/>
          <w:rtl/>
        </w:rPr>
        <w:t>השנים, התחוללו שינויים מרחיקי לכת ביחסה של החברה הישראלית לזוגות חד-מיניים ולקהילת הלהט"ב בכלל. בעקבות</w:t>
      </w:r>
      <w:r>
        <w:rPr>
          <w:rFonts w:hint="cs"/>
          <w:rtl/>
        </w:rPr>
        <w:t xml:space="preserve"> שינוי זה</w:t>
      </w:r>
      <w:r w:rsidRPr="009D59F6">
        <w:rPr>
          <w:rFonts w:hint="cs"/>
          <w:rtl/>
        </w:rPr>
        <w:t xml:space="preserve">, והחל משלהי שנות השמונים של המאה הקודמת, צעד בתורו גם המשפט, גם אם בצעדים מדודים, ופעל להסרת הפליה ולמתן יחס שוויוני לזוגות </w:t>
      </w:r>
      <w:r>
        <w:rPr>
          <w:rFonts w:hint="cs"/>
          <w:rtl/>
        </w:rPr>
        <w:t>ופרטים מקהילת הלהט"ב</w:t>
      </w:r>
      <w:r w:rsidRPr="009D59F6">
        <w:rPr>
          <w:rFonts w:hint="cs"/>
          <w:rtl/>
        </w:rPr>
        <w:t xml:space="preserve"> (וראו למשל את הסקירה </w:t>
      </w:r>
      <w:proofErr w:type="spellStart"/>
      <w:r w:rsidRPr="009D59F6">
        <w:rPr>
          <w:rFonts w:hint="cs"/>
          <w:rtl/>
        </w:rPr>
        <w:t>בעע"ם</w:t>
      </w:r>
      <w:proofErr w:type="spellEnd"/>
      <w:r w:rsidRPr="009D59F6">
        <w:rPr>
          <w:rFonts w:hint="cs"/>
          <w:rtl/>
        </w:rPr>
        <w:t xml:space="preserve"> 343/09 </w:t>
      </w:r>
      <w:r w:rsidRPr="009D59F6">
        <w:rPr>
          <w:rFonts w:ascii="Century" w:hAnsi="Century" w:cs="Miriam" w:hint="cs"/>
          <w:b/>
          <w:spacing w:val="0"/>
          <w:sz w:val="22"/>
          <w:szCs w:val="24"/>
          <w:rtl/>
        </w:rPr>
        <w:t>הבית הפתוח בירושלים לגאווה וסובלנות נ' עיריית ירושלים</w:t>
      </w:r>
      <w:r w:rsidRPr="009D59F6">
        <w:rPr>
          <w:rFonts w:hint="cs"/>
          <w:rtl/>
        </w:rPr>
        <w:t xml:space="preserve">, פ"ד סד(2) 1, פסקה 54 לפסק דינו של השופט </w:t>
      </w:r>
      <w:r w:rsidRPr="009D59F6">
        <w:rPr>
          <w:rFonts w:ascii="Century" w:hAnsi="Century" w:cs="Miriam" w:hint="cs"/>
          <w:b/>
          <w:spacing w:val="0"/>
          <w:sz w:val="22"/>
          <w:szCs w:val="24"/>
          <w:rtl/>
        </w:rPr>
        <w:t>י'</w:t>
      </w:r>
      <w:r w:rsidRPr="00F079A9">
        <w:rPr>
          <w:rFonts w:ascii="Century" w:hAnsi="Century" w:cs="Miriam" w:hint="cs"/>
          <w:b/>
          <w:spacing w:val="0"/>
          <w:sz w:val="22"/>
          <w:szCs w:val="24"/>
          <w:rtl/>
        </w:rPr>
        <w:t xml:space="preserve"> עמית</w:t>
      </w:r>
      <w:r w:rsidRPr="008A34C0">
        <w:rPr>
          <w:rFonts w:hint="cs"/>
          <w:rtl/>
        </w:rPr>
        <w:t xml:space="preserve"> </w:t>
      </w:r>
      <w:r>
        <w:rPr>
          <w:rFonts w:hint="cs"/>
          <w:rtl/>
        </w:rPr>
        <w:t xml:space="preserve">(2010); כן ראו: אלון הראל "עלייתה ונפילתה של המהפכה המשפטית ההומוסקסואלית" </w:t>
      </w:r>
      <w:r w:rsidRPr="00F079A9">
        <w:rPr>
          <w:rFonts w:ascii="Century" w:hAnsi="Century" w:cs="Miriam" w:hint="cs"/>
          <w:b/>
          <w:spacing w:val="0"/>
          <w:sz w:val="22"/>
          <w:szCs w:val="24"/>
          <w:rtl/>
        </w:rPr>
        <w:t>המשפט</w:t>
      </w:r>
      <w:r>
        <w:rPr>
          <w:rFonts w:hint="cs"/>
          <w:rtl/>
        </w:rPr>
        <w:t xml:space="preserve"> 10 (</w:t>
      </w:r>
      <w:proofErr w:type="spellStart"/>
      <w:r>
        <w:rPr>
          <w:rFonts w:hint="cs"/>
          <w:rtl/>
        </w:rPr>
        <w:t>התשס"א</w:t>
      </w:r>
      <w:proofErr w:type="spellEnd"/>
      <w:r>
        <w:rPr>
          <w:rFonts w:hint="cs"/>
          <w:rtl/>
        </w:rPr>
        <w:t xml:space="preserve">); עופר </w:t>
      </w:r>
      <w:proofErr w:type="spellStart"/>
      <w:r>
        <w:rPr>
          <w:rFonts w:hint="cs"/>
          <w:rtl/>
        </w:rPr>
        <w:t>נורדהיימר</w:t>
      </w:r>
      <w:proofErr w:type="spellEnd"/>
      <w:r>
        <w:rPr>
          <w:rFonts w:hint="cs"/>
          <w:rtl/>
        </w:rPr>
        <w:t xml:space="preserve"> נור "מין ומיניות גאה: סקירה היסטורית" </w:t>
      </w:r>
      <w:r w:rsidRPr="00F079A9">
        <w:rPr>
          <w:rFonts w:ascii="Century" w:hAnsi="Century" w:cs="Miriam" w:hint="cs"/>
          <w:b/>
          <w:spacing w:val="0"/>
          <w:sz w:val="22"/>
          <w:szCs w:val="24"/>
          <w:rtl/>
        </w:rPr>
        <w:t>זכויות הקהילה הגאה בישראל: משפט, נטייה מינית וזהות מגדרית</w:t>
      </w:r>
      <w:r w:rsidRPr="00127FE8">
        <w:rPr>
          <w:rFonts w:hint="cs"/>
          <w:rtl/>
        </w:rPr>
        <w:t xml:space="preserve"> </w:t>
      </w:r>
      <w:r>
        <w:rPr>
          <w:rFonts w:hint="cs"/>
          <w:rtl/>
        </w:rPr>
        <w:t xml:space="preserve">23, 42-41 </w:t>
      </w:r>
      <w:r w:rsidRPr="00533112">
        <w:rPr>
          <w:rtl/>
        </w:rPr>
        <w:t>(</w:t>
      </w:r>
      <w:r w:rsidRPr="00533112">
        <w:rPr>
          <w:rFonts w:hint="eastAsia"/>
          <w:rtl/>
        </w:rPr>
        <w:t>עינב</w:t>
      </w:r>
      <w:r w:rsidRPr="00533112">
        <w:rPr>
          <w:rtl/>
        </w:rPr>
        <w:t xml:space="preserve"> </w:t>
      </w:r>
      <w:r w:rsidRPr="00533112">
        <w:rPr>
          <w:rFonts w:hint="eastAsia"/>
          <w:rtl/>
        </w:rPr>
        <w:t>מורגנשטרן</w:t>
      </w:r>
      <w:r w:rsidRPr="00533112">
        <w:rPr>
          <w:rtl/>
        </w:rPr>
        <w:t xml:space="preserve">, </w:t>
      </w:r>
      <w:r w:rsidRPr="00533112">
        <w:rPr>
          <w:rFonts w:hint="eastAsia"/>
          <w:rtl/>
        </w:rPr>
        <w:t>יניב</w:t>
      </w:r>
      <w:r w:rsidRPr="00533112">
        <w:rPr>
          <w:rtl/>
        </w:rPr>
        <w:t xml:space="preserve"> </w:t>
      </w:r>
      <w:proofErr w:type="spellStart"/>
      <w:r w:rsidRPr="00533112">
        <w:rPr>
          <w:rFonts w:hint="eastAsia"/>
          <w:rtl/>
        </w:rPr>
        <w:t>לושינסקי</w:t>
      </w:r>
      <w:proofErr w:type="spellEnd"/>
      <w:r w:rsidRPr="00533112">
        <w:rPr>
          <w:rtl/>
        </w:rPr>
        <w:t xml:space="preserve"> </w:t>
      </w:r>
      <w:r w:rsidRPr="00533112">
        <w:rPr>
          <w:rFonts w:hint="eastAsia"/>
          <w:rtl/>
        </w:rPr>
        <w:t>ואלון</w:t>
      </w:r>
      <w:r w:rsidRPr="00533112">
        <w:rPr>
          <w:rtl/>
        </w:rPr>
        <w:t xml:space="preserve"> </w:t>
      </w:r>
      <w:r w:rsidRPr="00533112">
        <w:rPr>
          <w:rFonts w:hint="eastAsia"/>
          <w:rtl/>
        </w:rPr>
        <w:t>הראל</w:t>
      </w:r>
      <w:r w:rsidRPr="00533112">
        <w:rPr>
          <w:rtl/>
        </w:rPr>
        <w:t xml:space="preserve"> </w:t>
      </w:r>
      <w:r w:rsidRPr="00533112">
        <w:rPr>
          <w:rFonts w:hint="eastAsia"/>
          <w:rtl/>
        </w:rPr>
        <w:t>עורכים</w:t>
      </w:r>
      <w:r w:rsidRPr="00533112">
        <w:rPr>
          <w:rtl/>
        </w:rPr>
        <w:t>, 2016</w:t>
      </w:r>
      <w:r>
        <w:rPr>
          <w:rFonts w:hint="cs"/>
          <w:rtl/>
        </w:rPr>
        <w:t>)).</w:t>
      </w:r>
      <w:r>
        <w:rPr>
          <w:rtl/>
        </w:rPr>
        <w:br/>
      </w:r>
    </w:p>
    <w:p w:rsidR="00234FA8" w:rsidRDefault="00234FA8" w:rsidP="00234FA8">
      <w:pPr>
        <w:pStyle w:val="Ruller4"/>
        <w:rPr>
          <w:rtl/>
        </w:rPr>
      </w:pPr>
      <w:r>
        <w:rPr>
          <w:rFonts w:hint="cs"/>
          <w:rtl/>
        </w:rPr>
        <w:t xml:space="preserve">אם בשנת 1994 עוד נשמעה הדעה, גם אם כדעת מיעוט, ולפיה לא ניתן לפרש את הביטוי "בן זוג" כמתייחס גם לזוג חד-מיני, שכן </w:t>
      </w:r>
      <w:r w:rsidRPr="008A34C0">
        <w:rPr>
          <w:rFonts w:ascii="Century" w:hAnsi="Century" w:cs="Miriam" w:hint="cs"/>
          <w:b/>
          <w:spacing w:val="0"/>
          <w:sz w:val="22"/>
          <w:szCs w:val="24"/>
          <w:rtl/>
        </w:rPr>
        <w:t>"</w:t>
      </w:r>
      <w:r>
        <w:rPr>
          <w:rFonts w:ascii="Century" w:hAnsi="Century" w:cs="Miriam" w:hint="cs"/>
          <w:b/>
          <w:spacing w:val="0"/>
          <w:sz w:val="22"/>
          <w:szCs w:val="24"/>
          <w:rtl/>
        </w:rPr>
        <w:t>'זוג' בונה 'משפחה' [...] ו</w:t>
      </w:r>
      <w:r>
        <w:rPr>
          <w:rFonts w:ascii="Century" w:hAnsi="Century" w:cs="Miriam"/>
          <w:b/>
          <w:spacing w:val="0"/>
          <w:sz w:val="22"/>
          <w:szCs w:val="24"/>
          <w:rtl/>
        </w:rPr>
        <w:t xml:space="preserve">אין לך </w:t>
      </w:r>
      <w:r>
        <w:rPr>
          <w:rFonts w:ascii="Century" w:hAnsi="Century" w:cs="Miriam" w:hint="cs"/>
          <w:b/>
          <w:spacing w:val="0"/>
          <w:sz w:val="22"/>
          <w:szCs w:val="24"/>
          <w:rtl/>
        </w:rPr>
        <w:t>'</w:t>
      </w:r>
      <w:r>
        <w:rPr>
          <w:rFonts w:ascii="Century" w:hAnsi="Century" w:cs="Miriam"/>
          <w:b/>
          <w:spacing w:val="0"/>
          <w:sz w:val="22"/>
          <w:szCs w:val="24"/>
          <w:rtl/>
        </w:rPr>
        <w:t>משפחה</w:t>
      </w:r>
      <w:r>
        <w:rPr>
          <w:rFonts w:ascii="Century" w:hAnsi="Century" w:cs="Miriam" w:hint="cs"/>
          <w:b/>
          <w:spacing w:val="0"/>
          <w:sz w:val="22"/>
          <w:szCs w:val="24"/>
          <w:rtl/>
        </w:rPr>
        <w:t>'</w:t>
      </w:r>
      <w:r>
        <w:rPr>
          <w:rFonts w:ascii="Century" w:hAnsi="Century" w:cs="Miriam"/>
          <w:b/>
          <w:spacing w:val="0"/>
          <w:sz w:val="22"/>
          <w:szCs w:val="24"/>
          <w:rtl/>
        </w:rPr>
        <w:t xml:space="preserve"> אלא אם כן </w:t>
      </w:r>
      <w:r>
        <w:rPr>
          <w:rFonts w:ascii="Century" w:hAnsi="Century" w:cs="Miriam" w:hint="cs"/>
          <w:b/>
          <w:spacing w:val="0"/>
          <w:sz w:val="22"/>
          <w:szCs w:val="24"/>
          <w:rtl/>
        </w:rPr>
        <w:t>'</w:t>
      </w:r>
      <w:r>
        <w:rPr>
          <w:rFonts w:ascii="Century" w:hAnsi="Century" w:cs="Miriam"/>
          <w:b/>
          <w:spacing w:val="0"/>
          <w:sz w:val="22"/>
          <w:szCs w:val="24"/>
          <w:rtl/>
        </w:rPr>
        <w:t>בן-זוג</w:t>
      </w:r>
      <w:r>
        <w:rPr>
          <w:rFonts w:ascii="Century" w:hAnsi="Century" w:cs="Miriam" w:hint="cs"/>
          <w:b/>
          <w:spacing w:val="0"/>
          <w:sz w:val="22"/>
          <w:szCs w:val="24"/>
          <w:rtl/>
        </w:rPr>
        <w:t>'</w:t>
      </w:r>
      <w:r>
        <w:rPr>
          <w:rFonts w:ascii="Century" w:hAnsi="Century" w:cs="Miriam"/>
          <w:b/>
          <w:spacing w:val="0"/>
          <w:sz w:val="22"/>
          <w:szCs w:val="24"/>
          <w:rtl/>
        </w:rPr>
        <w:t xml:space="preserve"> ו</w:t>
      </w:r>
      <w:r>
        <w:rPr>
          <w:rFonts w:ascii="Century" w:hAnsi="Century" w:cs="Miriam" w:hint="cs"/>
          <w:b/>
          <w:spacing w:val="0"/>
          <w:sz w:val="22"/>
          <w:szCs w:val="24"/>
          <w:rtl/>
        </w:rPr>
        <w:t>'</w:t>
      </w:r>
      <w:r>
        <w:rPr>
          <w:rFonts w:ascii="Century" w:hAnsi="Century" w:cs="Miriam"/>
          <w:b/>
          <w:spacing w:val="0"/>
          <w:sz w:val="22"/>
          <w:szCs w:val="24"/>
          <w:rtl/>
        </w:rPr>
        <w:t>בת-זוג</w:t>
      </w:r>
      <w:r>
        <w:rPr>
          <w:rFonts w:ascii="Century" w:hAnsi="Century" w:cs="Miriam" w:hint="cs"/>
          <w:b/>
          <w:spacing w:val="0"/>
          <w:sz w:val="22"/>
          <w:szCs w:val="24"/>
          <w:rtl/>
        </w:rPr>
        <w:t>'</w:t>
      </w:r>
      <w:r w:rsidRPr="008A34C0">
        <w:rPr>
          <w:rFonts w:ascii="Century" w:hAnsi="Century" w:cs="Miriam"/>
          <w:b/>
          <w:spacing w:val="0"/>
          <w:sz w:val="22"/>
          <w:szCs w:val="24"/>
          <w:rtl/>
        </w:rPr>
        <w:t xml:space="preserve"> - משני המינים - מרכיבים את תשתיתה</w:t>
      </w:r>
      <w:r w:rsidRPr="008A34C0">
        <w:rPr>
          <w:rFonts w:ascii="Century" w:hAnsi="Century" w:cs="Miriam" w:hint="cs"/>
          <w:b/>
          <w:spacing w:val="0"/>
          <w:sz w:val="22"/>
          <w:szCs w:val="24"/>
          <w:rtl/>
        </w:rPr>
        <w:t>"</w:t>
      </w:r>
      <w:r>
        <w:rPr>
          <w:rFonts w:hint="cs"/>
          <w:rtl/>
        </w:rPr>
        <w:t xml:space="preserve"> (עניין </w:t>
      </w:r>
      <w:proofErr w:type="spellStart"/>
      <w:r w:rsidRPr="008A34C0">
        <w:rPr>
          <w:rFonts w:ascii="Century" w:hAnsi="Century" w:cs="Miriam" w:hint="cs"/>
          <w:b/>
          <w:spacing w:val="0"/>
          <w:sz w:val="22"/>
          <w:szCs w:val="24"/>
          <w:rtl/>
        </w:rPr>
        <w:t>דנילוביץ</w:t>
      </w:r>
      <w:proofErr w:type="spellEnd"/>
      <w:r>
        <w:rPr>
          <w:rFonts w:hint="cs"/>
          <w:rtl/>
        </w:rPr>
        <w:t xml:space="preserve">, פסקה 1 לפסק דינו של השופט </w:t>
      </w:r>
      <w:r w:rsidRPr="008A34C0">
        <w:rPr>
          <w:rFonts w:ascii="Century" w:hAnsi="Century" w:cs="Miriam" w:hint="cs"/>
          <w:b/>
          <w:spacing w:val="0"/>
          <w:sz w:val="22"/>
          <w:szCs w:val="24"/>
          <w:rtl/>
        </w:rPr>
        <w:t>י' קדמי</w:t>
      </w:r>
      <w:r>
        <w:rPr>
          <w:rFonts w:hint="cs"/>
          <w:rtl/>
        </w:rPr>
        <w:t xml:space="preserve">. ולביקורת על דעה זו ראו: אייל גרוס "הסיפור של </w:t>
      </w:r>
      <w:proofErr w:type="spellStart"/>
      <w:r>
        <w:rPr>
          <w:rFonts w:hint="cs"/>
          <w:rtl/>
        </w:rPr>
        <w:t>דנילוביץ</w:t>
      </w:r>
      <w:proofErr w:type="spellEnd"/>
      <w:r>
        <w:rPr>
          <w:rFonts w:hint="cs"/>
          <w:rtl/>
        </w:rPr>
        <w:t xml:space="preserve">: 'תנו לדייל להתרומם אל-על'" </w:t>
      </w:r>
      <w:r w:rsidRPr="008A34C0">
        <w:rPr>
          <w:rFonts w:ascii="Century" w:hAnsi="Century" w:cs="Miriam" w:hint="cs"/>
          <w:b/>
          <w:spacing w:val="0"/>
          <w:sz w:val="22"/>
          <w:szCs w:val="24"/>
          <w:rtl/>
        </w:rPr>
        <w:t>מעשי משפט</w:t>
      </w:r>
      <w:r>
        <w:rPr>
          <w:rFonts w:hint="cs"/>
          <w:rtl/>
        </w:rPr>
        <w:t xml:space="preserve"> י 13, 41-39 (2019)) </w:t>
      </w:r>
      <w:r>
        <w:rPr>
          <w:rtl/>
        </w:rPr>
        <w:t>–</w:t>
      </w:r>
      <w:r>
        <w:rPr>
          <w:rFonts w:hint="cs"/>
          <w:rtl/>
        </w:rPr>
        <w:t xml:space="preserve"> בעשרות השנים האחרונות חלו תמורות</w:t>
      </w:r>
      <w:r>
        <w:t xml:space="preserve"> </w:t>
      </w:r>
      <w:r>
        <w:rPr>
          <w:rFonts w:hint="cs"/>
          <w:rtl/>
        </w:rPr>
        <w:t xml:space="preserve">של ממש בתפיסת המשפחה, ולמדנו לדעת כי לבד ממודל המשפחה "המסורתי" קיימים דפוסי משפחה נוספים בני-קיימא, "משפחות חדשות", בהן משפחות המונות בני זוג מאותו המין (ראו: בג"ץ 781/15 </w:t>
      </w:r>
      <w:r w:rsidRPr="00550966">
        <w:rPr>
          <w:rFonts w:ascii="Century" w:hAnsi="Century" w:cs="Miriam" w:hint="cs"/>
          <w:b/>
          <w:spacing w:val="0"/>
          <w:sz w:val="22"/>
          <w:szCs w:val="24"/>
          <w:rtl/>
        </w:rPr>
        <w:t xml:space="preserve">ארד-פנקס נ' הוועדה לאישור </w:t>
      </w:r>
      <w:r w:rsidRPr="00550966">
        <w:rPr>
          <w:rFonts w:ascii="Century" w:hAnsi="Century" w:cs="Miriam"/>
          <w:b/>
          <w:spacing w:val="0"/>
          <w:sz w:val="22"/>
          <w:szCs w:val="24"/>
          <w:rtl/>
        </w:rPr>
        <w:t>הוועדה לאישור הסכמים לנשיאת עוברים על פי חוק הסכמים לנשיאת עוברים (אישור הסכם ומעמד הילוד), התשנ"ו-1996</w:t>
      </w:r>
      <w:r>
        <w:rPr>
          <w:rFonts w:hint="cs"/>
          <w:rtl/>
        </w:rPr>
        <w:t xml:space="preserve">, פסקה 2 לפסק דינו של השופט </w:t>
      </w:r>
      <w:r>
        <w:rPr>
          <w:rFonts w:ascii="Century" w:hAnsi="Century" w:cs="Miriam" w:hint="cs"/>
          <w:b/>
          <w:spacing w:val="0"/>
          <w:sz w:val="22"/>
          <w:szCs w:val="24"/>
          <w:rtl/>
        </w:rPr>
        <w:t>נ</w:t>
      </w:r>
      <w:r w:rsidRPr="00550966">
        <w:rPr>
          <w:rFonts w:ascii="Century" w:hAnsi="Century" w:cs="Miriam" w:hint="cs"/>
          <w:b/>
          <w:spacing w:val="0"/>
          <w:sz w:val="22"/>
          <w:szCs w:val="24"/>
          <w:rtl/>
        </w:rPr>
        <w:t xml:space="preserve">' </w:t>
      </w:r>
      <w:r>
        <w:rPr>
          <w:rFonts w:ascii="Century" w:hAnsi="Century" w:cs="Miriam" w:hint="cs"/>
          <w:b/>
          <w:spacing w:val="0"/>
          <w:sz w:val="22"/>
          <w:szCs w:val="24"/>
          <w:rtl/>
        </w:rPr>
        <w:t>הנדל</w:t>
      </w:r>
      <w:r w:rsidRPr="001A5219">
        <w:rPr>
          <w:rFonts w:hint="cs"/>
          <w:rtl/>
        </w:rPr>
        <w:t xml:space="preserve"> </w:t>
      </w:r>
      <w:r>
        <w:rPr>
          <w:rFonts w:hint="cs"/>
          <w:rtl/>
        </w:rPr>
        <w:t xml:space="preserve">(27.2.2020) (להלן: עניין </w:t>
      </w:r>
      <w:r w:rsidRPr="0096750B">
        <w:rPr>
          <w:rFonts w:ascii="Century" w:hAnsi="Century" w:cs="Miriam" w:hint="cs"/>
          <w:b/>
          <w:spacing w:val="0"/>
          <w:sz w:val="22"/>
          <w:szCs w:val="24"/>
          <w:rtl/>
        </w:rPr>
        <w:t>ארד-פנקס</w:t>
      </w:r>
      <w:r>
        <w:rPr>
          <w:rFonts w:hint="cs"/>
          <w:rtl/>
        </w:rPr>
        <w:t xml:space="preserve">)). עמד על כך, בהקשר שבענייננו, השופט </w:t>
      </w:r>
      <w:r w:rsidRPr="006C2F30">
        <w:rPr>
          <w:rFonts w:ascii="Century" w:hAnsi="Century" w:cs="Miriam" w:hint="cs"/>
          <w:b/>
          <w:spacing w:val="0"/>
          <w:sz w:val="22"/>
          <w:szCs w:val="24"/>
          <w:rtl/>
        </w:rPr>
        <w:t>מ' חשין</w:t>
      </w:r>
      <w:r>
        <w:rPr>
          <w:rFonts w:hint="cs"/>
          <w:rtl/>
        </w:rPr>
        <w:t xml:space="preserve"> כבר בעניין </w:t>
      </w:r>
      <w:proofErr w:type="spellStart"/>
      <w:r w:rsidRPr="006C2F30">
        <w:rPr>
          <w:rFonts w:ascii="Century" w:hAnsi="Century" w:cs="Miriam" w:hint="cs"/>
          <w:b/>
          <w:spacing w:val="0"/>
          <w:sz w:val="22"/>
          <w:szCs w:val="24"/>
          <w:rtl/>
        </w:rPr>
        <w:t>ירוס</w:t>
      </w:r>
      <w:proofErr w:type="spellEnd"/>
      <w:r w:rsidRPr="006C2F30">
        <w:rPr>
          <w:rFonts w:ascii="Century" w:hAnsi="Century" w:cs="Miriam" w:hint="cs"/>
          <w:b/>
          <w:spacing w:val="0"/>
          <w:sz w:val="22"/>
          <w:szCs w:val="24"/>
          <w:rtl/>
        </w:rPr>
        <w:t>-חקק</w:t>
      </w:r>
      <w:r>
        <w:rPr>
          <w:rFonts w:hint="cs"/>
          <w:rtl/>
        </w:rPr>
        <w:t xml:space="preserve">: </w:t>
      </w:r>
    </w:p>
    <w:p w:rsidR="00234FA8" w:rsidRPr="006C2F30" w:rsidRDefault="00234FA8" w:rsidP="00234FA8">
      <w:pPr>
        <w:pStyle w:val="Ruller41"/>
      </w:pPr>
    </w:p>
    <w:p w:rsidR="00234FA8" w:rsidRDefault="00234FA8" w:rsidP="00234FA8">
      <w:pPr>
        <w:pStyle w:val="Ruller4"/>
        <w:numPr>
          <w:ilvl w:val="0"/>
          <w:numId w:val="0"/>
        </w:numPr>
        <w:tabs>
          <w:tab w:val="clear" w:pos="800"/>
        </w:tabs>
        <w:spacing w:line="240" w:lineRule="auto"/>
        <w:ind w:left="1644" w:right="1418"/>
        <w:rPr>
          <w:rtl/>
        </w:rPr>
      </w:pPr>
      <w:r>
        <w:rPr>
          <w:rFonts w:hint="cs"/>
          <w:rtl/>
        </w:rPr>
        <w:t xml:space="preserve">"הוראת האֵם - זו הוראת ה'איש ואשתו יחד' שברישה לסעיף 3 לחוק - הוראה היא שנחקקה על רקע חברתי </w:t>
      </w:r>
      <w:proofErr w:type="spellStart"/>
      <w:r>
        <w:rPr>
          <w:rFonts w:hint="cs"/>
          <w:rtl/>
        </w:rPr>
        <w:t>מסויים</w:t>
      </w:r>
      <w:proofErr w:type="spellEnd"/>
      <w:r>
        <w:rPr>
          <w:rFonts w:hint="cs"/>
          <w:rtl/>
        </w:rPr>
        <w:t xml:space="preserve">, בחברה שהכירה דגם משפחתי אחד ויחיד - אֵם ואב נשואים זה-לזה. אין פלא בדבר, אפוא, כי דגם זה נקבע - על-דרך העיקרון - כדגם העשוי לשרת את טובת הילד. ימינו אלה אינם עוד כימים ההם. מאז נחקק חוק האימוץ נתחוללו בחברה המערבית - ובחברה בישראל - תמורות כה רבות ועמוקות, עד שנתקשה להחיל על תופעות בימינו את הוראות חוק האימוץ כפשוטן. נתבונן סביבנו וידענו כי האקלים והרקע החברתי </w:t>
      </w:r>
      <w:proofErr w:type="spellStart"/>
      <w:r>
        <w:rPr>
          <w:rFonts w:hint="cs"/>
          <w:rtl/>
        </w:rPr>
        <w:t>נשתנו</w:t>
      </w:r>
      <w:proofErr w:type="spellEnd"/>
      <w:r>
        <w:rPr>
          <w:rFonts w:hint="cs"/>
          <w:rtl/>
        </w:rPr>
        <w:t xml:space="preserve"> במאוד, וכי בימינו נפגוש משפחות רבות שאינן רואות עוד עצמן סרות למשמעתו של הדגם-שלעבר. וגם משפחות אלו יכולות - על דרך הכלל, כמובן -  לשרת </w:t>
      </w:r>
      <w:r>
        <w:rPr>
          <w:rFonts w:hint="cs"/>
          <w:rtl/>
        </w:rPr>
        <w:lastRenderedPageBreak/>
        <w:t xml:space="preserve">את אינטרס הילד בדומה לאותו דגם של-עבר" (שם, בעמ' 132) </w:t>
      </w:r>
    </w:p>
    <w:p w:rsidR="00234FA8" w:rsidRDefault="00234FA8" w:rsidP="00234FA8">
      <w:pPr>
        <w:pStyle w:val="Ruller4"/>
        <w:numPr>
          <w:ilvl w:val="0"/>
          <w:numId w:val="0"/>
        </w:numPr>
      </w:pPr>
      <w:r>
        <w:rPr>
          <w:rFonts w:hint="cs"/>
          <w:rtl/>
        </w:rPr>
        <w:t xml:space="preserve"> </w:t>
      </w:r>
    </w:p>
    <w:p w:rsidR="00234FA8" w:rsidRDefault="00234FA8" w:rsidP="00234FA8">
      <w:pPr>
        <w:pStyle w:val="Ruller4"/>
        <w:numPr>
          <w:ilvl w:val="0"/>
          <w:numId w:val="0"/>
        </w:numPr>
        <w:rPr>
          <w:rtl/>
        </w:rPr>
      </w:pPr>
      <w:r>
        <w:rPr>
          <w:rtl/>
        </w:rPr>
        <w:tab/>
      </w:r>
      <w:r>
        <w:rPr>
          <w:rFonts w:hint="cs"/>
          <w:rtl/>
        </w:rPr>
        <w:t xml:space="preserve">בהמשך להתפתחויות אלה, ובשורה של פסקי דין שניתנו בהקשרים שונים, קבעו בתי המשפט כי יש לפרש את הביטוי החקיקתי "בן זוג", ואף את הביטוי "איש ואישה", ככולל גם זוגות חד-מיניים (וראו למשל: ע"א 5178/03 </w:t>
      </w:r>
      <w:r w:rsidRPr="002778BC">
        <w:rPr>
          <w:rFonts w:ascii="Century" w:hAnsi="Century" w:cs="Miriam" w:hint="cs"/>
          <w:b/>
          <w:spacing w:val="0"/>
          <w:sz w:val="22"/>
          <w:szCs w:val="24"/>
          <w:rtl/>
        </w:rPr>
        <w:t>שטיינר נ' מנהל מס שבח מקרקעין</w:t>
      </w:r>
      <w:r w:rsidRPr="002778BC">
        <w:rPr>
          <w:rFonts w:hint="cs"/>
          <w:rtl/>
        </w:rPr>
        <w:t xml:space="preserve"> </w:t>
      </w:r>
      <w:r>
        <w:rPr>
          <w:rFonts w:hint="cs"/>
          <w:rtl/>
        </w:rPr>
        <w:t xml:space="preserve">(29.2.2004); עניין </w:t>
      </w:r>
      <w:r>
        <w:rPr>
          <w:rFonts w:ascii="Century" w:hAnsi="Century" w:cs="Miriam" w:hint="cs"/>
          <w:b/>
          <w:spacing w:val="0"/>
          <w:sz w:val="22"/>
          <w:szCs w:val="24"/>
          <w:rtl/>
        </w:rPr>
        <w:t xml:space="preserve">ירושת המנוח </w:t>
      </w:r>
      <w:proofErr w:type="spellStart"/>
      <w:r>
        <w:rPr>
          <w:rFonts w:ascii="Century" w:hAnsi="Century" w:cs="Miriam" w:hint="cs"/>
          <w:b/>
          <w:spacing w:val="0"/>
          <w:sz w:val="22"/>
          <w:szCs w:val="24"/>
          <w:rtl/>
        </w:rPr>
        <w:t>ש.ר</w:t>
      </w:r>
      <w:proofErr w:type="spellEnd"/>
      <w:r>
        <w:rPr>
          <w:rFonts w:hint="cs"/>
          <w:rtl/>
        </w:rPr>
        <w:t xml:space="preserve"> </w:t>
      </w:r>
      <w:r>
        <w:rPr>
          <w:rtl/>
        </w:rPr>
        <w:t>–</w:t>
      </w:r>
      <w:r>
        <w:rPr>
          <w:rFonts w:hint="cs"/>
          <w:rtl/>
        </w:rPr>
        <w:t xml:space="preserve"> בעניינו הורה היועץ המשפטי לממשלה דאז שלא להגיש ערעור, וראו ב</w:t>
      </w:r>
      <w:r w:rsidRPr="007957EB">
        <w:rPr>
          <w:rFonts w:ascii="Century" w:hAnsi="Century" w:cs="Miriam" w:hint="cs"/>
          <w:b/>
          <w:spacing w:val="0"/>
          <w:sz w:val="22"/>
          <w:szCs w:val="24"/>
          <w:rtl/>
        </w:rPr>
        <w:t>הנחיית היועמ"ש</w:t>
      </w:r>
      <w:r>
        <w:rPr>
          <w:rFonts w:hint="cs"/>
          <w:rtl/>
        </w:rPr>
        <w:t xml:space="preserve">; </w:t>
      </w:r>
      <w:proofErr w:type="spellStart"/>
      <w:r>
        <w:rPr>
          <w:rFonts w:hint="cs"/>
          <w:rtl/>
        </w:rPr>
        <w:t>תמ"ש</w:t>
      </w:r>
      <w:proofErr w:type="spellEnd"/>
      <w:r>
        <w:rPr>
          <w:rFonts w:hint="cs"/>
          <w:rtl/>
        </w:rPr>
        <w:t xml:space="preserve"> (משפחה ת"א) 3140/03 </w:t>
      </w:r>
      <w:proofErr w:type="spellStart"/>
      <w:r w:rsidRPr="00CF2596">
        <w:rPr>
          <w:rFonts w:ascii="Century" w:hAnsi="Century" w:cs="Miriam" w:hint="cs"/>
          <w:b/>
          <w:spacing w:val="0"/>
          <w:sz w:val="22"/>
          <w:szCs w:val="24"/>
          <w:rtl/>
        </w:rPr>
        <w:t>ר.א</w:t>
      </w:r>
      <w:proofErr w:type="spellEnd"/>
      <w:r w:rsidRPr="00CF2596">
        <w:rPr>
          <w:rFonts w:ascii="Century" w:hAnsi="Century" w:cs="Miriam" w:hint="cs"/>
          <w:b/>
          <w:spacing w:val="0"/>
          <w:sz w:val="22"/>
          <w:szCs w:val="24"/>
          <w:rtl/>
        </w:rPr>
        <w:t xml:space="preserve"> ו-</w:t>
      </w:r>
      <w:proofErr w:type="spellStart"/>
      <w:r w:rsidRPr="00CF2596">
        <w:rPr>
          <w:rFonts w:ascii="Century" w:hAnsi="Century" w:cs="Miriam" w:hint="cs"/>
          <w:b/>
          <w:spacing w:val="0"/>
          <w:sz w:val="22"/>
          <w:szCs w:val="24"/>
          <w:rtl/>
        </w:rPr>
        <w:t>ל.מ.פ</w:t>
      </w:r>
      <w:proofErr w:type="spellEnd"/>
      <w:r>
        <w:rPr>
          <w:rFonts w:hint="cs"/>
          <w:rtl/>
        </w:rPr>
        <w:t xml:space="preserve"> (16.2.2004). וראו גם את הסקירה בבג"ץ 3045/05 </w:t>
      </w:r>
      <w:r w:rsidRPr="00CF2596">
        <w:rPr>
          <w:rFonts w:ascii="Century" w:hAnsi="Century" w:cs="Miriam" w:hint="cs"/>
          <w:b/>
          <w:spacing w:val="0"/>
          <w:sz w:val="22"/>
          <w:szCs w:val="24"/>
          <w:rtl/>
        </w:rPr>
        <w:t xml:space="preserve">בן ארי נ' מנהל </w:t>
      </w:r>
      <w:proofErr w:type="spellStart"/>
      <w:r w:rsidRPr="00CF2596">
        <w:rPr>
          <w:rFonts w:ascii="Century" w:hAnsi="Century" w:cs="Miriam" w:hint="cs"/>
          <w:b/>
          <w:spacing w:val="0"/>
          <w:sz w:val="22"/>
          <w:szCs w:val="24"/>
          <w:rtl/>
        </w:rPr>
        <w:t>מינהל</w:t>
      </w:r>
      <w:proofErr w:type="spellEnd"/>
      <w:r w:rsidRPr="00CF2596">
        <w:rPr>
          <w:rFonts w:ascii="Century" w:hAnsi="Century" w:cs="Miriam" w:hint="cs"/>
          <w:b/>
          <w:spacing w:val="0"/>
          <w:sz w:val="22"/>
          <w:szCs w:val="24"/>
          <w:rtl/>
        </w:rPr>
        <w:t xml:space="preserve"> האוכלוסין</w:t>
      </w:r>
      <w:r>
        <w:rPr>
          <w:rFonts w:hint="cs"/>
          <w:rtl/>
        </w:rPr>
        <w:t xml:space="preserve">, פ"ד </w:t>
      </w:r>
      <w:proofErr w:type="spellStart"/>
      <w:r>
        <w:rPr>
          <w:rFonts w:hint="cs"/>
          <w:rtl/>
        </w:rPr>
        <w:t>סא</w:t>
      </w:r>
      <w:proofErr w:type="spellEnd"/>
      <w:r>
        <w:rPr>
          <w:rFonts w:hint="cs"/>
          <w:rtl/>
        </w:rPr>
        <w:t xml:space="preserve">(3) 537, 566-565 (2006)). כן הוכרו זכויותיהם של בני זוג מאותו המין לשוויון, להורות ולחיי משפחה (ראו למשל: עניין </w:t>
      </w:r>
      <w:r w:rsidRPr="00CF2596">
        <w:rPr>
          <w:rFonts w:ascii="Century" w:hAnsi="Century" w:cs="Miriam" w:hint="cs"/>
          <w:b/>
          <w:spacing w:val="0"/>
          <w:sz w:val="22"/>
          <w:szCs w:val="24"/>
          <w:rtl/>
        </w:rPr>
        <w:t>ארד-פנקס</w:t>
      </w:r>
      <w:r>
        <w:rPr>
          <w:rFonts w:hint="cs"/>
          <w:rtl/>
        </w:rPr>
        <w:t xml:space="preserve">, בפסקאות 20-15 לפסק דינה של הנשיאה </w:t>
      </w:r>
      <w:r w:rsidRPr="008B6AE4">
        <w:rPr>
          <w:rFonts w:ascii="Century" w:hAnsi="Century" w:cs="Miriam" w:hint="cs"/>
          <w:b/>
          <w:spacing w:val="0"/>
          <w:sz w:val="22"/>
          <w:szCs w:val="24"/>
          <w:rtl/>
        </w:rPr>
        <w:t>א' חיות</w:t>
      </w:r>
      <w:r>
        <w:rPr>
          <w:rFonts w:hint="cs"/>
          <w:rtl/>
        </w:rPr>
        <w:t xml:space="preserve">; בג"ץ 566/11 </w:t>
      </w:r>
      <w:r w:rsidRPr="00CF2596">
        <w:rPr>
          <w:rFonts w:ascii="Century" w:hAnsi="Century" w:cs="Miriam" w:hint="cs"/>
          <w:b/>
          <w:spacing w:val="0"/>
          <w:sz w:val="22"/>
          <w:szCs w:val="24"/>
          <w:rtl/>
        </w:rPr>
        <w:t>ממט-מגד נ' משרד הפנים</w:t>
      </w:r>
      <w:r>
        <w:rPr>
          <w:rFonts w:hint="cs"/>
          <w:rtl/>
        </w:rPr>
        <w:t xml:space="preserve">, פ"ד </w:t>
      </w:r>
      <w:proofErr w:type="spellStart"/>
      <w:r>
        <w:rPr>
          <w:rFonts w:hint="cs"/>
          <w:rtl/>
        </w:rPr>
        <w:t>סו</w:t>
      </w:r>
      <w:proofErr w:type="spellEnd"/>
      <w:r>
        <w:rPr>
          <w:rFonts w:hint="cs"/>
          <w:rtl/>
        </w:rPr>
        <w:t xml:space="preserve">(3) 493, 549 (2014) (להלן: עניין </w:t>
      </w:r>
      <w:r w:rsidRPr="008B6AE4">
        <w:rPr>
          <w:rFonts w:ascii="Century" w:hAnsi="Century" w:cs="Miriam" w:hint="cs"/>
          <w:b/>
          <w:spacing w:val="0"/>
          <w:sz w:val="22"/>
          <w:szCs w:val="24"/>
          <w:rtl/>
        </w:rPr>
        <w:t>ממט-מגד</w:t>
      </w:r>
      <w:r>
        <w:rPr>
          <w:rFonts w:hint="cs"/>
          <w:rtl/>
        </w:rPr>
        <w:t xml:space="preserve">)), והוסדרו היבטים שונים הנוגעים להורות של בני זוג חד-מיניים (וראו, בין היתר: בג"ץ 1779/99 </w:t>
      </w:r>
      <w:r w:rsidRPr="00CF2596">
        <w:rPr>
          <w:rFonts w:ascii="Century" w:hAnsi="Century" w:cs="Miriam" w:hint="cs"/>
          <w:b/>
          <w:spacing w:val="0"/>
          <w:sz w:val="22"/>
          <w:szCs w:val="24"/>
          <w:rtl/>
        </w:rPr>
        <w:t>ברנר-קדיש נ' שר הפנים</w:t>
      </w:r>
      <w:r>
        <w:rPr>
          <w:rFonts w:hint="cs"/>
          <w:rtl/>
        </w:rPr>
        <w:t xml:space="preserve">, פ"ד נד(2) 368 (2000); עניין </w:t>
      </w:r>
      <w:proofErr w:type="spellStart"/>
      <w:r w:rsidRPr="008B6AE4">
        <w:rPr>
          <w:rFonts w:ascii="Century" w:hAnsi="Century" w:cs="Miriam" w:hint="cs"/>
          <w:b/>
          <w:spacing w:val="0"/>
          <w:sz w:val="22"/>
          <w:szCs w:val="24"/>
          <w:rtl/>
        </w:rPr>
        <w:t>ירוס</w:t>
      </w:r>
      <w:proofErr w:type="spellEnd"/>
      <w:r w:rsidRPr="008B6AE4">
        <w:rPr>
          <w:rFonts w:ascii="Century" w:hAnsi="Century" w:cs="Miriam" w:hint="cs"/>
          <w:b/>
          <w:spacing w:val="0"/>
          <w:sz w:val="22"/>
          <w:szCs w:val="24"/>
          <w:rtl/>
        </w:rPr>
        <w:t>-חקק</w:t>
      </w:r>
      <w:r>
        <w:rPr>
          <w:rFonts w:hint="cs"/>
          <w:rtl/>
        </w:rPr>
        <w:t xml:space="preserve">; עניין </w:t>
      </w:r>
      <w:r w:rsidRPr="008B6AE4">
        <w:rPr>
          <w:rFonts w:ascii="Century" w:hAnsi="Century" w:cs="Miriam" w:hint="cs"/>
          <w:b/>
          <w:spacing w:val="0"/>
          <w:sz w:val="22"/>
          <w:szCs w:val="24"/>
          <w:rtl/>
        </w:rPr>
        <w:t>ממט-מגד</w:t>
      </w:r>
      <w:r>
        <w:rPr>
          <w:rFonts w:hint="cs"/>
          <w:rtl/>
        </w:rPr>
        <w:t xml:space="preserve">; עניין </w:t>
      </w:r>
      <w:r w:rsidRPr="00743419">
        <w:rPr>
          <w:rFonts w:ascii="Century" w:hAnsi="Century" w:cs="Miriam" w:hint="cs"/>
          <w:b/>
          <w:spacing w:val="0"/>
          <w:sz w:val="22"/>
          <w:szCs w:val="24"/>
          <w:rtl/>
        </w:rPr>
        <w:t>ארד-פנקס</w:t>
      </w:r>
      <w:r>
        <w:rPr>
          <w:rFonts w:hint="cs"/>
          <w:rtl/>
        </w:rPr>
        <w:t xml:space="preserve">; בע"מ 5544/18 </w:t>
      </w:r>
      <w:r w:rsidRPr="00CF2596">
        <w:rPr>
          <w:rFonts w:ascii="Century" w:hAnsi="Century" w:cs="Miriam" w:hint="cs"/>
          <w:b/>
          <w:spacing w:val="0"/>
          <w:sz w:val="22"/>
          <w:szCs w:val="24"/>
          <w:rtl/>
        </w:rPr>
        <w:t>היועץ המשפטי לממשלה נ' איילון</w:t>
      </w:r>
      <w:r w:rsidRPr="00CF2596">
        <w:rPr>
          <w:rFonts w:hint="cs"/>
          <w:rtl/>
        </w:rPr>
        <w:t xml:space="preserve"> </w:t>
      </w:r>
      <w:r>
        <w:rPr>
          <w:rFonts w:hint="cs"/>
          <w:rtl/>
        </w:rPr>
        <w:t xml:space="preserve">(14.2.2021); ועוד רבים אחרים). </w:t>
      </w:r>
    </w:p>
    <w:p w:rsidR="00234FA8" w:rsidRDefault="00234FA8" w:rsidP="00234FA8">
      <w:pPr>
        <w:pStyle w:val="Ruller4"/>
        <w:numPr>
          <w:ilvl w:val="0"/>
          <w:numId w:val="0"/>
        </w:numPr>
        <w:rPr>
          <w:rtl/>
        </w:rPr>
      </w:pPr>
    </w:p>
    <w:p w:rsidR="00234FA8" w:rsidRDefault="00234FA8" w:rsidP="00234FA8">
      <w:pPr>
        <w:pStyle w:val="Ruller4"/>
        <w:numPr>
          <w:ilvl w:val="0"/>
          <w:numId w:val="0"/>
        </w:numPr>
      </w:pPr>
      <w:r>
        <w:rPr>
          <w:rtl/>
        </w:rPr>
        <w:tab/>
      </w:r>
      <w:r>
        <w:rPr>
          <w:rFonts w:hint="cs"/>
          <w:rtl/>
        </w:rPr>
        <w:t xml:space="preserve">לכך יש להוסיף את חקיקתו של חוק אומנה לילדים, התשע"ו-2016 </w:t>
      </w:r>
      <w:r>
        <w:rPr>
          <w:rtl/>
        </w:rPr>
        <w:t>–</w:t>
      </w:r>
      <w:r>
        <w:rPr>
          <w:rFonts w:hint="cs"/>
          <w:rtl/>
        </w:rPr>
        <w:t xml:space="preserve"> שגם במרכזו עומדת טובת הילד </w:t>
      </w:r>
      <w:r>
        <w:rPr>
          <w:rtl/>
        </w:rPr>
        <w:t>–</w:t>
      </w:r>
      <w:r>
        <w:rPr>
          <w:rFonts w:hint="cs"/>
          <w:rtl/>
        </w:rPr>
        <w:t xml:space="preserve"> הנוקט לשון "בני זוג" ואינו מבחין בין משפחת אומנה הטרוסקסואלית או חד-מינית. בפועל, מונח זה מפורש על-ידי המדינה כחל גם על זוגות חד-מיניים, מבלי שניתנת קדימות לזוגות הטרוסקסואליים.</w:t>
      </w:r>
      <w:r>
        <w:rPr>
          <w:rtl/>
        </w:rPr>
        <w:br/>
      </w:r>
    </w:p>
    <w:p w:rsidR="00234FA8" w:rsidRDefault="00234FA8" w:rsidP="00234FA8">
      <w:pPr>
        <w:pStyle w:val="Ruller4"/>
      </w:pPr>
      <w:r>
        <w:rPr>
          <w:rFonts w:hint="cs"/>
          <w:rtl/>
        </w:rPr>
        <w:t xml:space="preserve">על רקע האמור, מובן כי הביטוי "איש ואשתו יחד" שבהוראת סעיף 3 לחוק האימוץ, נחקק בעולם-של-אתמול, בו הוכר רק דגם זוגי ומשפחתי אחד, של זוגיות הטרוסקסואלית </w:t>
      </w:r>
      <w:r>
        <w:rPr>
          <w:rtl/>
        </w:rPr>
        <w:t>–</w:t>
      </w:r>
      <w:r>
        <w:rPr>
          <w:rFonts w:hint="cs"/>
          <w:rtl/>
        </w:rPr>
        <w:t xml:space="preserve"> ולא בעולם של-היום, הכולל משפחות מסוג חדש. ממילא, בחירת המחוקק בביטוי הלשוני "איש ואשתו" דווקא, לא נועדה לשלול אימוץ על-ידי "אישה ואישה" או "איש ואיש", אלא לבכר אימוץ זוגי כפי שהיה מוכר בעת החקיקה. לאור שינויי </w:t>
      </w:r>
      <w:r w:rsidRPr="00E461DA">
        <w:rPr>
          <w:rFonts w:hint="cs"/>
          <w:rtl/>
        </w:rPr>
        <w:t>העיתים, ושינוי "</w:t>
      </w:r>
      <w:r>
        <w:rPr>
          <w:rFonts w:hint="cs"/>
          <w:rtl/>
        </w:rPr>
        <w:t>סביבתו</w:t>
      </w:r>
      <w:r w:rsidRPr="00E461DA">
        <w:rPr>
          <w:rFonts w:hint="cs"/>
          <w:rtl/>
        </w:rPr>
        <w:t xml:space="preserve"> המשפטית" של </w:t>
      </w:r>
      <w:r w:rsidRPr="009E3367">
        <w:rPr>
          <w:rFonts w:hint="cs"/>
          <w:rtl/>
        </w:rPr>
        <w:t>החוק כפי שתוארה, אני סבורה כי ביטוי</w:t>
      </w:r>
      <w:r>
        <w:rPr>
          <w:rtl/>
        </w:rPr>
        <w:br/>
      </w:r>
      <w:r w:rsidRPr="00FE0C54">
        <w:rPr>
          <w:rFonts w:hint="eastAsia"/>
          <w:rtl/>
        </w:rPr>
        <w:t>זה</w:t>
      </w:r>
      <w:r>
        <w:rPr>
          <w:rFonts w:hint="cs"/>
          <w:rtl/>
        </w:rPr>
        <w:t xml:space="preserve"> אינו משמש כמנעול, אלא כ</w:t>
      </w:r>
      <w:r w:rsidRPr="00FE0C54">
        <w:rPr>
          <w:rFonts w:hint="eastAsia"/>
          <w:rtl/>
        </w:rPr>
        <w:t>מַפְתֵּחַ</w:t>
      </w:r>
      <w:r w:rsidRPr="009E3367">
        <w:rPr>
          <w:rFonts w:hint="cs"/>
          <w:rtl/>
        </w:rPr>
        <w:t xml:space="preserve"> (</w:t>
      </w:r>
      <w:r w:rsidRPr="00E71881">
        <w:rPr>
          <w:rFonts w:hint="eastAsia"/>
          <w:rtl/>
        </w:rPr>
        <w:t>כלשונו</w:t>
      </w:r>
      <w:r w:rsidRPr="00E71881">
        <w:rPr>
          <w:rtl/>
        </w:rPr>
        <w:t xml:space="preserve"> </w:t>
      </w:r>
      <w:r w:rsidRPr="00E71881">
        <w:rPr>
          <w:rFonts w:hint="eastAsia"/>
          <w:rtl/>
        </w:rPr>
        <w:t>של</w:t>
      </w:r>
      <w:r w:rsidRPr="00E71881">
        <w:rPr>
          <w:rtl/>
        </w:rPr>
        <w:t xml:space="preserve"> </w:t>
      </w:r>
      <w:r w:rsidRPr="00E71881">
        <w:rPr>
          <w:rFonts w:hint="eastAsia"/>
          <w:rtl/>
        </w:rPr>
        <w:t>השופט</w:t>
      </w:r>
      <w:r w:rsidRPr="00E71881">
        <w:rPr>
          <w:rtl/>
        </w:rPr>
        <w:t xml:space="preserve"> </w:t>
      </w:r>
      <w:r w:rsidRPr="00E71881">
        <w:rPr>
          <w:rFonts w:ascii="Century" w:hAnsi="Century" w:cs="Miriam" w:hint="eastAsia"/>
          <w:b/>
          <w:spacing w:val="0"/>
          <w:sz w:val="22"/>
          <w:szCs w:val="24"/>
          <w:rtl/>
        </w:rPr>
        <w:t>נ</w:t>
      </w:r>
      <w:r w:rsidRPr="00E71881">
        <w:rPr>
          <w:rFonts w:ascii="Century" w:hAnsi="Century" w:cs="Miriam"/>
          <w:b/>
          <w:spacing w:val="0"/>
          <w:sz w:val="22"/>
          <w:szCs w:val="24"/>
          <w:rtl/>
        </w:rPr>
        <w:t xml:space="preserve">' </w:t>
      </w:r>
      <w:r w:rsidRPr="00E71881">
        <w:rPr>
          <w:rFonts w:ascii="Century" w:hAnsi="Century" w:cs="Miriam" w:hint="eastAsia"/>
          <w:b/>
          <w:spacing w:val="0"/>
          <w:sz w:val="22"/>
          <w:szCs w:val="24"/>
          <w:rtl/>
        </w:rPr>
        <w:t>ממן</w:t>
      </w:r>
      <w:r>
        <w:rPr>
          <w:rFonts w:ascii="Century" w:hAnsi="Century" w:cs="Miriam" w:hint="cs"/>
          <w:b/>
          <w:spacing w:val="0"/>
          <w:sz w:val="22"/>
          <w:szCs w:val="24"/>
          <w:rtl/>
        </w:rPr>
        <w:t xml:space="preserve"> </w:t>
      </w:r>
      <w:r>
        <w:rPr>
          <w:rFonts w:hint="cs"/>
          <w:rtl/>
        </w:rPr>
        <w:t>ב</w:t>
      </w:r>
      <w:r w:rsidRPr="00541CB3">
        <w:rPr>
          <w:rFonts w:hint="cs"/>
          <w:rtl/>
        </w:rPr>
        <w:t xml:space="preserve">עניין </w:t>
      </w:r>
      <w:r w:rsidRPr="00541CB3">
        <w:rPr>
          <w:rFonts w:ascii="Century" w:hAnsi="Century" w:cs="Miriam" w:hint="cs"/>
          <w:b/>
          <w:spacing w:val="0"/>
          <w:sz w:val="22"/>
          <w:szCs w:val="24"/>
          <w:rtl/>
        </w:rPr>
        <w:t xml:space="preserve">ירושת המנוח </w:t>
      </w:r>
      <w:proofErr w:type="spellStart"/>
      <w:r w:rsidRPr="00541CB3">
        <w:rPr>
          <w:rFonts w:ascii="Century" w:hAnsi="Century" w:cs="Miriam" w:hint="cs"/>
          <w:b/>
          <w:spacing w:val="0"/>
          <w:sz w:val="22"/>
          <w:szCs w:val="24"/>
          <w:rtl/>
        </w:rPr>
        <w:t>ש.ר</w:t>
      </w:r>
      <w:proofErr w:type="spellEnd"/>
      <w:r>
        <w:rPr>
          <w:rFonts w:hint="cs"/>
          <w:rtl/>
        </w:rPr>
        <w:t>,</w:t>
      </w:r>
      <w:r w:rsidRPr="00541CB3">
        <w:rPr>
          <w:rFonts w:hint="cs"/>
          <w:rtl/>
        </w:rPr>
        <w:t xml:space="preserve"> בפסקה </w:t>
      </w:r>
      <w:r w:rsidRPr="0077036D">
        <w:rPr>
          <w:rFonts w:hint="cs"/>
          <w:rtl/>
        </w:rPr>
        <w:t xml:space="preserve">16). תכליתו לוודא כי טובתו של הילד נשמרת, על-ידי מסירתו לאימוץ להורים מאמצים שהם בני זוג. תכלית זו תוגשם </w:t>
      </w:r>
      <w:r>
        <w:rPr>
          <w:rFonts w:hint="cs"/>
          <w:rtl/>
        </w:rPr>
        <w:t xml:space="preserve">אם </w:t>
      </w:r>
      <w:r w:rsidRPr="0077036D">
        <w:rPr>
          <w:rFonts w:hint="cs"/>
          <w:rtl/>
        </w:rPr>
        <w:t xml:space="preserve">ביטוי זה יתפרש כחל </w:t>
      </w:r>
      <w:r>
        <w:rPr>
          <w:rFonts w:hint="cs"/>
          <w:rtl/>
        </w:rPr>
        <w:t xml:space="preserve">גם </w:t>
      </w:r>
      <w:r w:rsidRPr="0077036D">
        <w:rPr>
          <w:rFonts w:hint="cs"/>
          <w:rtl/>
        </w:rPr>
        <w:t>על בני זוג מאותו המין</w:t>
      </w:r>
      <w:r>
        <w:rPr>
          <w:rFonts w:hint="cs"/>
          <w:rtl/>
        </w:rPr>
        <w:t xml:space="preserve">. </w:t>
      </w:r>
      <w:r>
        <w:rPr>
          <w:rtl/>
        </w:rPr>
        <w:br/>
      </w:r>
    </w:p>
    <w:p w:rsidR="00234FA8" w:rsidRDefault="00234FA8" w:rsidP="00234FA8">
      <w:pPr>
        <w:pStyle w:val="Ruller4"/>
        <w:rPr>
          <w:rtl/>
        </w:rPr>
      </w:pPr>
      <w:r>
        <w:rPr>
          <w:rFonts w:hint="cs"/>
          <w:rtl/>
        </w:rPr>
        <w:lastRenderedPageBreak/>
        <w:t xml:space="preserve">מהלך פרשני זה אף עולה בקנה אחד עם הקשרו הלשוני-הפנימי של סעיף 3 לחוק, ועם הפירוש שניתן לו במהלך השנים. כפי שהעיר גם חברי השופט </w:t>
      </w:r>
      <w:r w:rsidRPr="00315FEE">
        <w:rPr>
          <w:rFonts w:ascii="Century" w:hAnsi="Century" w:cs="Miriam" w:hint="cs"/>
          <w:b/>
          <w:spacing w:val="0"/>
          <w:sz w:val="22"/>
          <w:szCs w:val="24"/>
          <w:rtl/>
        </w:rPr>
        <w:t>א' שטיין</w:t>
      </w:r>
      <w:r>
        <w:rPr>
          <w:rFonts w:hint="cs"/>
          <w:rtl/>
        </w:rPr>
        <w:t xml:space="preserve">, בהנחיית היועמ"ש פורש הביטוי "בן זוגו", המופיע בהוראת סעיף 3(1) לחוק האימוץ, ככולל גם בני זוג מאותו המין. אמנם, הביטוי "בן זוג" אינו מושג נרדף לביטוי "איש ואשתו" </w:t>
      </w:r>
      <w:r>
        <w:rPr>
          <w:rtl/>
        </w:rPr>
        <w:t>–</w:t>
      </w:r>
      <w:r>
        <w:rPr>
          <w:rFonts w:hint="cs"/>
          <w:rtl/>
        </w:rPr>
        <w:t xml:space="preserve"> אך סמיכותם של הביטויים והקשר הדברים, אינם מעלים טעם להבחין ביניהם. המושג "בן זוגו" בסעיף 3(1) לחוק, מתייחס להכרה בזוג מאמצים אשר אחד מהם הוא הורהו של הילד. אין מקום  להבחין, בהקשר הנדון ולנוכח תכלית החוק, בין זוג מאמצים זה </w:t>
      </w:r>
      <w:r>
        <w:rPr>
          <w:rtl/>
        </w:rPr>
        <w:t>–</w:t>
      </w:r>
      <w:r>
        <w:rPr>
          <w:rFonts w:hint="cs"/>
          <w:rtl/>
        </w:rPr>
        <w:t xml:space="preserve"> לבין זוג המאמצים מושא הביטוי "איש ואשתו" שבסעיף 3 לחוק, אשר אין להם קרבה משפחתית דומה לילד. ויוער, כי במהלך הדיונים בכנסת על הצעת החוק המקורי, הועלתה הצעה להחליף את הביטוי "איש ואשתו" שבסעיף 3 לחוק, בביטוי "בני זוג" (פרוטוקול ישיבה 16 של ועדת השירותים הציבוריים, הכנסת הרביעית, 5 (5.4.1960)). הצעה זו נדחתה בסופו של דבר, אך מעניין לציין כי כאשר נידונה הוראת סעיף 4 לחוק, הקובעת את הפרש הגילים בין המאומץ לבין "בן זוגו" של הורה המאומץ, הוצע לנקוט עקביות ולהחליף את הביטוי "בן זוג" בביטוי "איש ואשתו" </w:t>
      </w:r>
      <w:r>
        <w:rPr>
          <w:rtl/>
        </w:rPr>
        <w:t>–</w:t>
      </w:r>
      <w:r>
        <w:rPr>
          <w:rFonts w:hint="cs"/>
          <w:rtl/>
        </w:rPr>
        <w:t xml:space="preserve"> והצעה זו נדחתה, מן הטעם שלא נמצא שוני רלבנטי בין הביטויים (</w:t>
      </w:r>
      <w:r w:rsidRPr="00F032B1">
        <w:rPr>
          <w:rFonts w:ascii="Century" w:hAnsi="Century" w:cs="Miriam" w:hint="cs"/>
          <w:b/>
          <w:spacing w:val="0"/>
          <w:sz w:val="22"/>
          <w:szCs w:val="24"/>
          <w:rtl/>
        </w:rPr>
        <w:t>שם</w:t>
      </w:r>
      <w:r>
        <w:rPr>
          <w:rFonts w:hint="cs"/>
          <w:rtl/>
        </w:rPr>
        <w:t>, בעמ' 8</w:t>
      </w:r>
      <w:r w:rsidRPr="00AE1EA3">
        <w:rPr>
          <w:rFonts w:hint="cs"/>
          <w:rtl/>
        </w:rPr>
        <w:t>). לכך יש לצרף את הפרשנות שניתנה בשנים האחרונות לביטוי "איש ואשתו יחד", ככולל בתוכו גם בני זוג הטרוסקסואלים ידועים בציבור. פרשנות זו מבטאת נכונות להגמיש את משמעותו הלשונית 'הטבעית' של ביטוי זה,</w:t>
      </w:r>
      <w:r>
        <w:rPr>
          <w:rFonts w:hint="cs"/>
          <w:rtl/>
        </w:rPr>
        <w:t xml:space="preserve"> המתייחסת, לכאורה, רק לזוג הטרוסקסואלי נשוי </w:t>
      </w:r>
      <w:r>
        <w:rPr>
          <w:rtl/>
        </w:rPr>
        <w:t>–</w:t>
      </w:r>
      <w:r>
        <w:rPr>
          <w:rFonts w:hint="cs"/>
          <w:rtl/>
        </w:rPr>
        <w:t xml:space="preserve"> וזאת לשם הגשמת תכלית החקיקה של מסירתו של ילד לאימוץ, באופן שישרת את טובתו, לזוג מאמצים המצויים בזוגיות יציבה (תכלית שניתן למצוא לה עוגן גם בביטוי העוקב "איש ואשתו </w:t>
      </w:r>
      <w:r w:rsidRPr="00315FEE">
        <w:rPr>
          <w:rFonts w:ascii="Century" w:hAnsi="Century" w:cs="Miriam" w:hint="cs"/>
          <w:b/>
          <w:spacing w:val="0"/>
          <w:sz w:val="22"/>
          <w:szCs w:val="24"/>
          <w:rtl/>
        </w:rPr>
        <w:t>יחד</w:t>
      </w:r>
      <w:r>
        <w:rPr>
          <w:rFonts w:hint="cs"/>
          <w:rtl/>
        </w:rPr>
        <w:t xml:space="preserve">"). </w:t>
      </w:r>
    </w:p>
    <w:p w:rsidR="00234FA8" w:rsidRPr="006C07C2" w:rsidRDefault="00234FA8" w:rsidP="00234FA8">
      <w:pPr>
        <w:pStyle w:val="Ruller41"/>
      </w:pPr>
    </w:p>
    <w:p w:rsidR="00234FA8" w:rsidRDefault="00234FA8" w:rsidP="00234FA8">
      <w:pPr>
        <w:pStyle w:val="Ruller4"/>
        <w:rPr>
          <w:rtl/>
        </w:rPr>
      </w:pPr>
      <w:r>
        <w:rPr>
          <w:rFonts w:hint="cs"/>
          <w:rtl/>
        </w:rPr>
        <w:t xml:space="preserve">והערה אחרונה לעניין עיקרון השוויון. חברי ממלא מקום הנשיא עמד על הפגיעה הכפולה הנגרמת לזוגות חד-מיניים כתוצאה מן הפרשנות הבלתי שוויונית הנוהגת כיום. </w:t>
      </w:r>
      <w:r w:rsidRPr="00DA5F2C">
        <w:rPr>
          <w:rFonts w:ascii="Century" w:hAnsi="Century" w:hint="cs"/>
          <w:sz w:val="22"/>
          <w:rtl/>
        </w:rPr>
        <w:t>במישור האישי-המעשי, נפגעים</w:t>
      </w:r>
      <w:r w:rsidRPr="00DA5F2C">
        <w:rPr>
          <w:rFonts w:hint="cs"/>
          <w:rtl/>
        </w:rPr>
        <w:t xml:space="preserve"> </w:t>
      </w:r>
      <w:r>
        <w:rPr>
          <w:rFonts w:hint="cs"/>
          <w:rtl/>
        </w:rPr>
        <w:t xml:space="preserve">זוגות כדוגמת העותרים 4-1, מכך שלא מתאפשר להם לממש, על דרך של אימוץ ובדומה לזוגות הטרוסקסואלים, את כמיהתם להורות. במישור החברתי-ערכי, נפגעים זוגות חד-מיניים גם מתיוגם הקבוצתי כמי שכישורי ההורות שלהם נופלים מאלה של זוגות הטרוסקסואלים. תיוג זה נובע מכך שלגבי הזוגות האחרונים קיימת כיום "חזקת כשירות" לאימוץ ילדים, בעוד שהראשונים נדרשים להוכיח כשירות כזו במסגרת המסלול החריג של "מאמץ יחיד" </w:t>
      </w:r>
      <w:r>
        <w:rPr>
          <w:rtl/>
        </w:rPr>
        <w:t>–</w:t>
      </w:r>
      <w:r>
        <w:rPr>
          <w:rFonts w:hint="cs"/>
          <w:rtl/>
        </w:rPr>
        <w:t xml:space="preserve"> וגם זאת רק כאשר לא נמצאה לילד כל חלופה אחרת (והשוו: </w:t>
      </w:r>
      <w:r w:rsidRPr="002A69A2">
        <w:rPr>
          <w:rFonts w:ascii="Century" w:hAnsi="Century" w:cs="Miriam" w:hint="cs"/>
          <w:b/>
          <w:spacing w:val="0"/>
          <w:sz w:val="22"/>
          <w:szCs w:val="24"/>
          <w:rtl/>
        </w:rPr>
        <w:t>ממט-מגד</w:t>
      </w:r>
      <w:r>
        <w:rPr>
          <w:rFonts w:hint="cs"/>
          <w:rtl/>
        </w:rPr>
        <w:t xml:space="preserve">, בעמ' 549). הפגם הטמון במצב דברים זה, נעוץ לא רק בהפרת חובת הניטרליות של השלטון עליה הצביע חברי השופט </w:t>
      </w:r>
      <w:r w:rsidRPr="00315FEE">
        <w:rPr>
          <w:rFonts w:ascii="Century" w:hAnsi="Century" w:cs="Miriam" w:hint="cs"/>
          <w:b/>
          <w:spacing w:val="0"/>
          <w:sz w:val="22"/>
          <w:szCs w:val="24"/>
          <w:rtl/>
        </w:rPr>
        <w:t>א' שטיין</w:t>
      </w:r>
      <w:r>
        <w:rPr>
          <w:rFonts w:hint="cs"/>
          <w:rtl/>
        </w:rPr>
        <w:t xml:space="preserve"> </w:t>
      </w:r>
      <w:r>
        <w:rPr>
          <w:rtl/>
        </w:rPr>
        <w:t>–</w:t>
      </w:r>
      <w:r>
        <w:rPr>
          <w:rFonts w:hint="cs"/>
          <w:rtl/>
        </w:rPr>
        <w:t xml:space="preserve"> אלא גם בפגיעה בכבוד האדם של זוגות חד-מיניים (וראו: יותם </w:t>
      </w:r>
      <w:proofErr w:type="spellStart"/>
      <w:r>
        <w:rPr>
          <w:rFonts w:hint="cs"/>
          <w:rtl/>
        </w:rPr>
        <w:t>זעירא</w:t>
      </w:r>
      <w:proofErr w:type="spellEnd"/>
      <w:r>
        <w:rPr>
          <w:rFonts w:hint="cs"/>
          <w:rtl/>
        </w:rPr>
        <w:t xml:space="preserve"> </w:t>
      </w:r>
      <w:r>
        <w:rPr>
          <w:rFonts w:hint="cs"/>
          <w:rtl/>
        </w:rPr>
        <w:lastRenderedPageBreak/>
        <w:t xml:space="preserve">וברק מדינה "לא שווים לבד: נטייה מינית, זהות מגדרית והזכות לשוויון" </w:t>
      </w:r>
      <w:r w:rsidRPr="00127FE8">
        <w:rPr>
          <w:rFonts w:ascii="Century" w:hAnsi="Century" w:cs="Miriam" w:hint="cs"/>
          <w:b/>
          <w:spacing w:val="0"/>
          <w:sz w:val="22"/>
          <w:szCs w:val="24"/>
          <w:rtl/>
        </w:rPr>
        <w:t>זכויות הקהילה הגאה בישראל: משפט, נטייה מינית וזהות מגדרית</w:t>
      </w:r>
      <w:r w:rsidRPr="00127FE8">
        <w:rPr>
          <w:rFonts w:hint="cs"/>
          <w:rtl/>
        </w:rPr>
        <w:t xml:space="preserve"> </w:t>
      </w:r>
      <w:r>
        <w:rPr>
          <w:rFonts w:hint="cs"/>
          <w:rtl/>
        </w:rPr>
        <w:t xml:space="preserve">159, 167-161 </w:t>
      </w:r>
      <w:r w:rsidRPr="00533112">
        <w:rPr>
          <w:rtl/>
        </w:rPr>
        <w:t>(</w:t>
      </w:r>
      <w:r w:rsidRPr="00533112">
        <w:rPr>
          <w:rFonts w:hint="eastAsia"/>
          <w:rtl/>
        </w:rPr>
        <w:t>עינב</w:t>
      </w:r>
      <w:r w:rsidRPr="00533112">
        <w:rPr>
          <w:rtl/>
        </w:rPr>
        <w:t xml:space="preserve"> </w:t>
      </w:r>
      <w:r w:rsidRPr="00533112">
        <w:rPr>
          <w:rFonts w:hint="eastAsia"/>
          <w:rtl/>
        </w:rPr>
        <w:t>מורגנשטרן</w:t>
      </w:r>
      <w:r w:rsidRPr="00533112">
        <w:rPr>
          <w:rtl/>
        </w:rPr>
        <w:t xml:space="preserve">, </w:t>
      </w:r>
      <w:r w:rsidRPr="00533112">
        <w:rPr>
          <w:rFonts w:hint="eastAsia"/>
          <w:rtl/>
        </w:rPr>
        <w:t>יניב</w:t>
      </w:r>
      <w:r w:rsidRPr="00533112">
        <w:rPr>
          <w:rtl/>
        </w:rPr>
        <w:t xml:space="preserve"> </w:t>
      </w:r>
      <w:proofErr w:type="spellStart"/>
      <w:r w:rsidRPr="00533112">
        <w:rPr>
          <w:rFonts w:hint="eastAsia"/>
          <w:rtl/>
        </w:rPr>
        <w:t>לושינסקי</w:t>
      </w:r>
      <w:proofErr w:type="spellEnd"/>
      <w:r w:rsidRPr="00533112">
        <w:rPr>
          <w:rtl/>
        </w:rPr>
        <w:t xml:space="preserve"> </w:t>
      </w:r>
      <w:r w:rsidRPr="00533112">
        <w:rPr>
          <w:rFonts w:hint="eastAsia"/>
          <w:rtl/>
        </w:rPr>
        <w:t>ואלון</w:t>
      </w:r>
      <w:r w:rsidRPr="00533112">
        <w:rPr>
          <w:rtl/>
        </w:rPr>
        <w:t xml:space="preserve"> </w:t>
      </w:r>
      <w:r w:rsidRPr="00533112">
        <w:rPr>
          <w:rFonts w:hint="eastAsia"/>
          <w:rtl/>
        </w:rPr>
        <w:t>הראל</w:t>
      </w:r>
      <w:r w:rsidRPr="00533112">
        <w:rPr>
          <w:rtl/>
        </w:rPr>
        <w:t xml:space="preserve"> </w:t>
      </w:r>
      <w:r w:rsidRPr="00533112">
        <w:rPr>
          <w:rFonts w:hint="eastAsia"/>
          <w:rtl/>
        </w:rPr>
        <w:t>עורכים</w:t>
      </w:r>
      <w:r w:rsidRPr="00533112">
        <w:rPr>
          <w:rtl/>
        </w:rPr>
        <w:t>, 2016</w:t>
      </w:r>
      <w:r>
        <w:rPr>
          <w:rFonts w:hint="cs"/>
          <w:rtl/>
        </w:rPr>
        <w:t xml:space="preserve">)). המצב הנוהג כיום, אשר בפועל כמעט שאינו מאפשר לבני זוג מאותו המין לאמץ ילדים, ובתוך כך מעביר מסר שלפיו הורות חד-מינית היא "הורות סוג ב'" </w:t>
      </w:r>
      <w:r>
        <w:rPr>
          <w:rtl/>
        </w:rPr>
        <w:t>–</w:t>
      </w:r>
      <w:r>
        <w:rPr>
          <w:rFonts w:hint="cs"/>
          <w:rtl/>
        </w:rPr>
        <w:t xml:space="preserve"> הוא מצב שאינו הולם עקרונות של שוויון וכבוד האדם. גם בטעם זה יש משום תמיכה בפרשנות המאפשרת לזוגות חד-מיניים לאמץ במסגרת סעיף 3 לחוק, באופן המשווה את מצבם לזה של זוגות הטרוסקסואלים. </w:t>
      </w:r>
    </w:p>
    <w:p w:rsidR="00234FA8" w:rsidRPr="009C1493" w:rsidRDefault="00234FA8" w:rsidP="00234FA8">
      <w:pPr>
        <w:pStyle w:val="Ruller41"/>
      </w:pPr>
    </w:p>
    <w:p w:rsidR="00272E66" w:rsidRPr="00272E66" w:rsidRDefault="00234FA8" w:rsidP="00234FA8">
      <w:pPr>
        <w:pStyle w:val="Ruller4"/>
        <w:rPr>
          <w:rtl/>
        </w:rPr>
      </w:pPr>
      <w:r w:rsidRPr="00315FEE">
        <w:rPr>
          <w:rFonts w:ascii="Century" w:hAnsi="Century" w:cs="Miriam" w:hint="cs"/>
          <w:b/>
          <w:spacing w:val="0"/>
          <w:sz w:val="22"/>
          <w:szCs w:val="24"/>
          <w:rtl/>
        </w:rPr>
        <w:t>סיכומם של דברים:</w:t>
      </w:r>
      <w:r w:rsidRPr="00315FEE">
        <w:rPr>
          <w:rFonts w:hint="cs"/>
          <w:rtl/>
        </w:rPr>
        <w:t xml:space="preserve"> </w:t>
      </w:r>
      <w:r>
        <w:rPr>
          <w:rFonts w:hint="cs"/>
          <w:rtl/>
        </w:rPr>
        <w:t xml:space="preserve">שישה עשורים חלפו מאז נכתבה התיבה "איש ואשתו יחד" בחוק האימוץ. מאז, למדנו לדעת כי תא משפחתי יציב ואוהב, היכול להוות בסיס איתן לגידול ילד בריא, יכול להיות תא משפחתי של איש ואישה, של אישה ואישה, ושל איש ואיש </w:t>
      </w:r>
      <w:r>
        <w:rPr>
          <w:rtl/>
        </w:rPr>
        <w:t>–</w:t>
      </w:r>
      <w:r>
        <w:rPr>
          <w:rFonts w:hint="cs"/>
          <w:rtl/>
        </w:rPr>
        <w:t xml:space="preserve"> ובלבד שטובת הילד נשמרת. תובנה זו היא העומדת במוקד הפרשנות שניתנת על-ידינו היום להוראת סעיף 3 לחוק. בקביעה פרשנית זו, המכניסה בני זוג מאותו המין  בשערי "הדלת הראשית" של חוץ האימוץ, אנו פוסעים בתלם שכבר נחרש בפסקי דין בתחום דיני המשפחה ובתחומים נוספים, אשר הכירו במהלך השנים בקיומה של זוגיות חד-מינית, בהורותם של זוגות חד-מיניים, ובזכותם לשוויון. פסיקתנו אף ממשיכה ציר פרשני קיים המתייחס לחוק האימוץ, ציר המרחיב את קשת המאמצים הפוטנציאליים אל מעבר לגבולות הדגם המשפחתי המסורתי של "איש ואישה", לשם הגשמת תכליתו של החוק. פרשנות זו מתחייבת אפוא משינויי העיתים, מעקרון טובת </w:t>
      </w:r>
      <w:r w:rsidRPr="00F02000">
        <w:rPr>
          <w:rFonts w:hint="cs"/>
          <w:rtl/>
        </w:rPr>
        <w:t>הילד, מכבוד האדם ומעקרון השוויון.</w:t>
      </w:r>
    </w:p>
    <w:p w:rsidR="00016EF1" w:rsidRDefault="00016EF1" w:rsidP="00A51FAE">
      <w:pPr>
        <w:pStyle w:val="Ruller41"/>
        <w:rPr>
          <w:rtl/>
        </w:rPr>
      </w:pPr>
    </w:p>
    <w:p w:rsidR="00234FA8" w:rsidRDefault="00234FA8" w:rsidP="00A51FAE">
      <w:pPr>
        <w:pStyle w:val="Ruller41"/>
        <w:rPr>
          <w:rtl/>
        </w:rPr>
      </w:pPr>
    </w:p>
    <w:tbl>
      <w:tblPr>
        <w:bidiVisual/>
        <w:tblW w:w="8363" w:type="dxa"/>
        <w:tblLook w:val="01E0" w:firstRow="1" w:lastRow="1" w:firstColumn="1" w:lastColumn="1" w:noHBand="0" w:noVBand="0"/>
      </w:tblPr>
      <w:tblGrid>
        <w:gridCol w:w="2783"/>
        <w:gridCol w:w="2797"/>
        <w:gridCol w:w="2783"/>
      </w:tblGrid>
      <w:tr w:rsidR="00AB072B" w:rsidRPr="00267280" w:rsidTr="00332182">
        <w:tc>
          <w:tcPr>
            <w:tcW w:w="2783" w:type="dxa"/>
            <w:shd w:val="clear" w:color="auto" w:fill="auto"/>
          </w:tcPr>
          <w:p w:rsidR="00AB072B" w:rsidRPr="00267280" w:rsidRDefault="00AB072B" w:rsidP="00332182">
            <w:pPr>
              <w:pStyle w:val="Ruller41"/>
              <w:jc w:val="center"/>
              <w:rPr>
                <w:rtl/>
              </w:rPr>
            </w:pPr>
          </w:p>
        </w:tc>
        <w:tc>
          <w:tcPr>
            <w:tcW w:w="2797" w:type="dxa"/>
            <w:shd w:val="clear" w:color="auto" w:fill="auto"/>
          </w:tcPr>
          <w:p w:rsidR="00AB072B" w:rsidRPr="00267280" w:rsidRDefault="00AB072B" w:rsidP="00332182">
            <w:pPr>
              <w:pStyle w:val="Ruller41"/>
              <w:jc w:val="center"/>
              <w:rPr>
                <w:rtl/>
              </w:rPr>
            </w:pPr>
          </w:p>
        </w:tc>
        <w:tc>
          <w:tcPr>
            <w:tcW w:w="2783" w:type="dxa"/>
            <w:shd w:val="clear" w:color="auto" w:fill="auto"/>
          </w:tcPr>
          <w:p w:rsidR="00AB072B" w:rsidRPr="00267280" w:rsidRDefault="00AB072B" w:rsidP="00332182">
            <w:pPr>
              <w:pStyle w:val="Ruller41"/>
              <w:jc w:val="right"/>
              <w:rPr>
                <w:rtl/>
              </w:rPr>
            </w:pPr>
            <w:r>
              <w:rPr>
                <w:rFonts w:hint="cs"/>
                <w:rtl/>
              </w:rPr>
              <w:t>ש ו פ ט ת</w:t>
            </w:r>
          </w:p>
        </w:tc>
      </w:tr>
    </w:tbl>
    <w:p w:rsidR="00AB072B" w:rsidRDefault="00AB072B" w:rsidP="00A51FAE">
      <w:pPr>
        <w:pStyle w:val="Ruller41"/>
        <w:rPr>
          <w:rtl/>
        </w:rPr>
      </w:pPr>
    </w:p>
    <w:p w:rsidR="00234FA8" w:rsidRDefault="00907793" w:rsidP="00F4415F">
      <w:pPr>
        <w:pStyle w:val="Ruller41"/>
        <w:rPr>
          <w:rtl/>
        </w:rPr>
      </w:pPr>
      <w:r>
        <w:rPr>
          <w:rtl/>
        </w:rPr>
        <w:tab/>
      </w:r>
      <w:r w:rsidR="00094502" w:rsidRPr="00094502">
        <w:rPr>
          <w:rtl/>
        </w:rPr>
        <w:t xml:space="preserve">הוחלט כאמור בפסק דינו של </w:t>
      </w:r>
      <w:r w:rsidR="00F4415F">
        <w:rPr>
          <w:rFonts w:hint="cs"/>
          <w:rtl/>
        </w:rPr>
        <w:t>ממלא מקום הנשיא</w:t>
      </w:r>
      <w:r w:rsidR="00094502" w:rsidRPr="00094502">
        <w:rPr>
          <w:rtl/>
        </w:rPr>
        <w:t xml:space="preserve"> ע' פוגלמן.</w:t>
      </w:r>
    </w:p>
    <w:p w:rsidR="00094502" w:rsidRDefault="00094502" w:rsidP="00A51FAE">
      <w:pPr>
        <w:pStyle w:val="Ruller41"/>
        <w:rPr>
          <w:rtl/>
        </w:rPr>
      </w:pPr>
    </w:p>
    <w:p w:rsidR="00094502" w:rsidRDefault="00094502" w:rsidP="00A51FAE">
      <w:pPr>
        <w:pStyle w:val="Ruller41"/>
        <w:rPr>
          <w:rtl/>
        </w:rPr>
      </w:pPr>
      <w:r>
        <w:rPr>
          <w:rtl/>
        </w:rPr>
        <w:tab/>
        <w:t xml:space="preserve">ניתן היום, </w:t>
      </w:r>
      <w:r>
        <w:rPr>
          <w:rFonts w:hint="eastAsia"/>
          <w:rtl/>
        </w:rPr>
        <w:t>‏ט</w:t>
      </w:r>
      <w:r>
        <w:rPr>
          <w:rtl/>
        </w:rPr>
        <w:t xml:space="preserve">"ז בטבת </w:t>
      </w:r>
      <w:proofErr w:type="spellStart"/>
      <w:r>
        <w:rPr>
          <w:rtl/>
        </w:rPr>
        <w:t>התשפ"ד</w:t>
      </w:r>
      <w:proofErr w:type="spellEnd"/>
      <w:r>
        <w:rPr>
          <w:rtl/>
        </w:rPr>
        <w:t xml:space="preserve"> (</w:t>
      </w:r>
      <w:r>
        <w:rPr>
          <w:rFonts w:hint="eastAsia"/>
          <w:rtl/>
        </w:rPr>
        <w:t>‏</w:t>
      </w:r>
      <w:r>
        <w:rPr>
          <w:rtl/>
        </w:rPr>
        <w:t>28.12.2023).</w:t>
      </w:r>
    </w:p>
    <w:p w:rsidR="00094502" w:rsidRDefault="00094502" w:rsidP="00A51FAE">
      <w:pPr>
        <w:pStyle w:val="Ruller41"/>
        <w:rPr>
          <w:rtl/>
        </w:rPr>
      </w:pPr>
    </w:p>
    <w:p w:rsidR="00AB072B" w:rsidRPr="00BD6101" w:rsidRDefault="00AB072B" w:rsidP="00A51FAE">
      <w:pPr>
        <w:pStyle w:val="Ruller41"/>
        <w:rPr>
          <w:rtl/>
        </w:rPr>
      </w:pPr>
    </w:p>
    <w:tbl>
      <w:tblPr>
        <w:bidiVisual/>
        <w:tblW w:w="8363" w:type="dxa"/>
        <w:tblLook w:val="01E0" w:firstRow="1" w:lastRow="1" w:firstColumn="1" w:lastColumn="1" w:noHBand="0" w:noVBand="0"/>
      </w:tblPr>
      <w:tblGrid>
        <w:gridCol w:w="2795"/>
        <w:gridCol w:w="2784"/>
        <w:gridCol w:w="2784"/>
      </w:tblGrid>
      <w:tr w:rsidR="00BD6101" w:rsidRPr="00BD6101" w:rsidTr="00D00B1D">
        <w:tc>
          <w:tcPr>
            <w:tcW w:w="2842" w:type="dxa"/>
            <w:shd w:val="clear" w:color="auto" w:fill="auto"/>
          </w:tcPr>
          <w:p w:rsidR="00016EF1" w:rsidRPr="00BD6101" w:rsidRDefault="00DC6F13" w:rsidP="00A51FAE">
            <w:pPr>
              <w:pStyle w:val="Ruller41"/>
              <w:rPr>
                <w:rtl/>
              </w:rPr>
            </w:pPr>
            <w:r w:rsidRPr="00BD6101">
              <w:rPr>
                <w:rtl/>
              </w:rPr>
              <w:t>מ"מ הנשיא</w:t>
            </w:r>
          </w:p>
        </w:tc>
        <w:tc>
          <w:tcPr>
            <w:tcW w:w="2843" w:type="dxa"/>
            <w:shd w:val="clear" w:color="auto" w:fill="auto"/>
          </w:tcPr>
          <w:p w:rsidR="001A0164" w:rsidRPr="00BD6101" w:rsidRDefault="00DC6F13" w:rsidP="00BA0B08">
            <w:pPr>
              <w:pStyle w:val="Ruller41"/>
              <w:jc w:val="center"/>
              <w:rPr>
                <w:rtl/>
              </w:rPr>
            </w:pPr>
            <w:r w:rsidRPr="00BD6101">
              <w:rPr>
                <w:rtl/>
              </w:rPr>
              <w:t>ש ו פ ט</w:t>
            </w:r>
          </w:p>
        </w:tc>
        <w:tc>
          <w:tcPr>
            <w:tcW w:w="2843" w:type="dxa"/>
            <w:shd w:val="clear" w:color="auto" w:fill="auto"/>
          </w:tcPr>
          <w:p w:rsidR="001A0164" w:rsidRPr="00BD6101" w:rsidRDefault="00DC6F13" w:rsidP="00B42BD6">
            <w:pPr>
              <w:pStyle w:val="Ruller41"/>
              <w:bidi w:val="0"/>
              <w:rPr>
                <w:rtl/>
              </w:rPr>
            </w:pPr>
            <w:r w:rsidRPr="00BD6101">
              <w:rPr>
                <w:rtl/>
              </w:rPr>
              <w:t>ש ו פ ט ת</w:t>
            </w:r>
          </w:p>
        </w:tc>
      </w:tr>
    </w:tbl>
    <w:p w:rsidR="00916FF8" w:rsidRPr="00BD6101" w:rsidRDefault="00916FF8">
      <w:pPr>
        <w:rPr>
          <w:szCs w:val="16"/>
          <w:rtl/>
        </w:rPr>
      </w:pPr>
      <w:r w:rsidRPr="00BD6101">
        <w:rPr>
          <w:szCs w:val="16"/>
          <w:rtl/>
        </w:rPr>
        <w:t>_________________</w:t>
      </w:r>
      <w:r w:rsidR="00A12E0F" w:rsidRPr="00BD6101">
        <w:rPr>
          <w:rFonts w:hint="cs"/>
          <w:szCs w:val="16"/>
          <w:rtl/>
        </w:rPr>
        <w:t>________</w:t>
      </w:r>
    </w:p>
    <w:p w:rsidR="00916FF8" w:rsidRPr="00BD6101" w:rsidRDefault="00591983" w:rsidP="00B009CC">
      <w:pPr>
        <w:pStyle w:val="Ruller38"/>
        <w:rPr>
          <w:rtl/>
        </w:rPr>
      </w:pPr>
      <w:r w:rsidRPr="00BD6101">
        <w:rPr>
          <w:sz w:val="16"/>
        </w:rPr>
        <w:t xml:space="preserve"> </w:t>
      </w:r>
      <w:r w:rsidR="00A12E0F" w:rsidRPr="00BD6101">
        <w:rPr>
          <w:sz w:val="16"/>
        </w:rPr>
        <w:t xml:space="preserve">  </w:t>
      </w:r>
      <w:r w:rsidR="00DC6F13" w:rsidRPr="00BD6101">
        <w:rPr>
          <w:sz w:val="16"/>
        </w:rPr>
        <w:t xml:space="preserve">21051580_M12.docx   </w:t>
      </w:r>
      <w:r w:rsidR="00DC6F13" w:rsidRPr="00BD6101">
        <w:rPr>
          <w:sz w:val="16"/>
          <w:rtl/>
        </w:rPr>
        <w:t>עת</w:t>
      </w:r>
    </w:p>
    <w:p w:rsidR="00591983" w:rsidRPr="00BD6101" w:rsidRDefault="00591983" w:rsidP="00FC0252">
      <w:pPr>
        <w:pStyle w:val="Ruller38"/>
        <w:rPr>
          <w:rtl/>
        </w:rPr>
      </w:pPr>
      <w:r w:rsidRPr="00BD6101">
        <w:rPr>
          <w:rtl/>
        </w:rPr>
        <w:t>מרכז מידע, טל'</w:t>
      </w:r>
      <w:r w:rsidRPr="00BD6101">
        <w:rPr>
          <w:rFonts w:hint="cs"/>
          <w:rtl/>
        </w:rPr>
        <w:t xml:space="preserve"> </w:t>
      </w:r>
      <w:r w:rsidR="00B63343" w:rsidRPr="00BD6101">
        <w:rPr>
          <w:rFonts w:hint="cs"/>
          <w:rtl/>
        </w:rPr>
        <w:t>077</w:t>
      </w:r>
      <w:r w:rsidRPr="00BD6101">
        <w:rPr>
          <w:rFonts w:hint="cs"/>
          <w:rtl/>
        </w:rPr>
        <w:t>-</w:t>
      </w:r>
      <w:r w:rsidR="00B63343" w:rsidRPr="00BD6101">
        <w:rPr>
          <w:rFonts w:hint="cs"/>
          <w:rtl/>
        </w:rPr>
        <w:t>270</w:t>
      </w:r>
      <w:r w:rsidR="00E21CA9" w:rsidRPr="00BD6101">
        <w:rPr>
          <w:rFonts w:hint="cs"/>
          <w:rtl/>
        </w:rPr>
        <w:t>3</w:t>
      </w:r>
      <w:r w:rsidR="009B38DA" w:rsidRPr="00BD6101">
        <w:rPr>
          <w:rFonts w:hint="cs"/>
          <w:rtl/>
        </w:rPr>
        <w:t>333</w:t>
      </w:r>
      <w:r w:rsidR="00866D0F" w:rsidRPr="00BD6101">
        <w:rPr>
          <w:rFonts w:hint="cs"/>
          <w:rtl/>
        </w:rPr>
        <w:t>, 3852*</w:t>
      </w:r>
      <w:r w:rsidRPr="00BD6101">
        <w:rPr>
          <w:rFonts w:hint="cs"/>
          <w:rtl/>
        </w:rPr>
        <w:t xml:space="preserve"> ; אתר אינטרנט,  </w:t>
      </w:r>
      <w:hyperlink r:id="rId8" w:history="1">
        <w:r w:rsidR="00FC0252" w:rsidRPr="00BD6101">
          <w:rPr>
            <w:rStyle w:val="Hyperlink"/>
            <w:color w:val="auto"/>
            <w:sz w:val="16"/>
          </w:rPr>
          <w:t>https://supreme.court.gov.il</w:t>
        </w:r>
      </w:hyperlink>
    </w:p>
    <w:p w:rsidR="003F1F97" w:rsidRPr="00BD6101" w:rsidRDefault="003F1F97" w:rsidP="00591983">
      <w:pPr>
        <w:pStyle w:val="Ruller38"/>
        <w:rPr>
          <w:rtl/>
        </w:rPr>
      </w:pPr>
    </w:p>
    <w:sectPr w:rsidR="003F1F97" w:rsidRPr="00BD6101" w:rsidSect="00591983">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EB0" w:rsidRDefault="00D42EB0">
      <w:r>
        <w:separator/>
      </w:r>
    </w:p>
  </w:endnote>
  <w:endnote w:type="continuationSeparator" w:id="0">
    <w:p w:rsidR="00D42EB0" w:rsidRDefault="00D4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02" w:rsidRDefault="0037710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BC0E82">
      <w:rPr>
        <w:rStyle w:val="PageNumber"/>
        <w:noProof/>
        <w:rtl/>
      </w:rPr>
      <w:t>1</w:t>
    </w:r>
    <w:r>
      <w:rPr>
        <w:rStyle w:val="PageNumber"/>
        <w:rtl/>
      </w:rPr>
      <w:fldChar w:fldCharType="end"/>
    </w:r>
  </w:p>
  <w:p w:rsidR="00377102" w:rsidRDefault="00377102">
    <w:pPr>
      <w:pStyle w:val="Footer"/>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67" w:rsidRDefault="00F15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B4D" w:rsidRPr="00F959DB" w:rsidRDefault="00045B4D" w:rsidP="00914156">
    <w:pPr>
      <w:pStyle w:val="Footer"/>
      <w:bidi w:val="0"/>
      <w:jc w:val="right"/>
      <w:rPr>
        <w:sz w:val="16"/>
        <w:szCs w:val="16"/>
      </w:rPr>
    </w:pPr>
    <w:bookmarkStart w:id="6" w:name="footer_line"/>
    <w:bookmarkEnd w:id="6"/>
  </w:p>
  <w:p w:rsidR="00045B4D" w:rsidRDefault="00045B4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EB0" w:rsidRDefault="00D42EB0">
      <w:r>
        <w:separator/>
      </w:r>
    </w:p>
  </w:footnote>
  <w:footnote w:type="continuationSeparator" w:id="0">
    <w:p w:rsidR="00D42EB0" w:rsidRDefault="00D4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02" w:rsidRDefault="00377102">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BC0E82">
      <w:rPr>
        <w:rStyle w:val="PageNumber"/>
        <w:noProof/>
        <w:rtl/>
      </w:rPr>
      <w:t>1</w:t>
    </w:r>
    <w:r>
      <w:rPr>
        <w:rStyle w:val="PageNumber"/>
        <w:rtl/>
      </w:rPr>
      <w:fldChar w:fldCharType="end"/>
    </w:r>
  </w:p>
  <w:p w:rsidR="00377102" w:rsidRDefault="00377102">
    <w:pPr>
      <w:pStyle w:val="Header"/>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02" w:rsidRDefault="00377102">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C3262F">
      <w:rPr>
        <w:rStyle w:val="PageNumber"/>
        <w:noProof/>
        <w:rtl/>
      </w:rPr>
      <w:t>25</w:t>
    </w:r>
    <w:r>
      <w:rPr>
        <w:rStyle w:val="PageNumber"/>
        <w:rtl/>
      </w:rPr>
      <w:fldChar w:fldCharType="end"/>
    </w:r>
  </w:p>
  <w:p w:rsidR="00377102" w:rsidRDefault="00377102">
    <w:pPr>
      <w:pStyle w:val="Header"/>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Header"/>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15A0F140"/>
    <w:lvl w:ilvl="0" w:tplc="B26A2492">
      <w:start w:val="1"/>
      <w:numFmt w:val="decimal"/>
      <w:pStyle w:val="Ruller4"/>
      <w:lvlText w:val="%1."/>
      <w:lvlJc w:val="left"/>
      <w:pPr>
        <w:tabs>
          <w:tab w:val="num" w:pos="907"/>
        </w:tabs>
        <w:ind w:left="0" w:firstLine="0"/>
      </w:pPr>
      <w:rPr>
        <w:rFonts w:ascii="Century" w:hAnsi="Century" w:cs="FrankRuehl" w:hint="default"/>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50FA9"/>
    <w:multiLevelType w:val="hybridMultilevel"/>
    <w:tmpl w:val="EC6C907C"/>
    <w:lvl w:ilvl="0" w:tplc="916ECF98">
      <w:start w:val="1"/>
      <w:numFmt w:val="decimal"/>
      <w:lvlText w:val="(%1)"/>
      <w:lvlJc w:val="left"/>
      <w:pPr>
        <w:ind w:left="720" w:hanging="360"/>
      </w:pPr>
      <w:rPr>
        <w:rFonts w:ascii="FrankRuehl" w:hAnsi="FrankRuehl" w:cs="FrankRuehl" w:hint="default"/>
        <w:b w:val="0"/>
        <w:bCs w:val="0"/>
        <w:i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rPr>
    </w:lvl>
    <w:lvl w:ilvl="1" w:tplc="28246CA4" w:tentative="1">
      <w:start w:val="1"/>
      <w:numFmt w:val="lowerLetter"/>
      <w:lvlText w:val="%2."/>
      <w:lvlJc w:val="left"/>
      <w:pPr>
        <w:ind w:left="1440" w:hanging="360"/>
      </w:pPr>
    </w:lvl>
    <w:lvl w:ilvl="2" w:tplc="4EA0D7C4" w:tentative="1">
      <w:start w:val="1"/>
      <w:numFmt w:val="lowerRoman"/>
      <w:lvlText w:val="%3."/>
      <w:lvlJc w:val="right"/>
      <w:pPr>
        <w:ind w:left="2160" w:hanging="180"/>
      </w:pPr>
    </w:lvl>
    <w:lvl w:ilvl="3" w:tplc="F62208D0" w:tentative="1">
      <w:start w:val="1"/>
      <w:numFmt w:val="decimal"/>
      <w:lvlText w:val="%4."/>
      <w:lvlJc w:val="left"/>
      <w:pPr>
        <w:ind w:left="2880" w:hanging="360"/>
      </w:pPr>
    </w:lvl>
    <w:lvl w:ilvl="4" w:tplc="50844700" w:tentative="1">
      <w:start w:val="1"/>
      <w:numFmt w:val="lowerLetter"/>
      <w:lvlText w:val="%5."/>
      <w:lvlJc w:val="left"/>
      <w:pPr>
        <w:ind w:left="3600" w:hanging="360"/>
      </w:pPr>
    </w:lvl>
    <w:lvl w:ilvl="5" w:tplc="5816C6E6" w:tentative="1">
      <w:start w:val="1"/>
      <w:numFmt w:val="lowerRoman"/>
      <w:lvlText w:val="%6."/>
      <w:lvlJc w:val="right"/>
      <w:pPr>
        <w:ind w:left="4320" w:hanging="180"/>
      </w:pPr>
    </w:lvl>
    <w:lvl w:ilvl="6" w:tplc="E0F00D5A" w:tentative="1">
      <w:start w:val="1"/>
      <w:numFmt w:val="decimal"/>
      <w:lvlText w:val="%7."/>
      <w:lvlJc w:val="left"/>
      <w:pPr>
        <w:ind w:left="5040" w:hanging="360"/>
      </w:pPr>
    </w:lvl>
    <w:lvl w:ilvl="7" w:tplc="9A40F360" w:tentative="1">
      <w:start w:val="1"/>
      <w:numFmt w:val="lowerLetter"/>
      <w:lvlText w:val="%8."/>
      <w:lvlJc w:val="left"/>
      <w:pPr>
        <w:ind w:left="5760" w:hanging="360"/>
      </w:pPr>
    </w:lvl>
    <w:lvl w:ilvl="8" w:tplc="3A12124C" w:tentative="1">
      <w:start w:val="1"/>
      <w:numFmt w:val="lowerRoman"/>
      <w:lvlText w:val="%9."/>
      <w:lvlJc w:val="right"/>
      <w:pPr>
        <w:ind w:left="6480" w:hanging="180"/>
      </w:pPr>
    </w:lvl>
  </w:abstractNum>
  <w:abstractNum w:abstractNumId="12" w15:restartNumberingAfterBreak="0">
    <w:nsid w:val="4FE70B62"/>
    <w:multiLevelType w:val="hybridMultilevel"/>
    <w:tmpl w:val="ADA8711E"/>
    <w:lvl w:ilvl="0" w:tplc="DBB0A036">
      <w:start w:val="1"/>
      <w:numFmt w:val="hebrew1"/>
      <w:pStyle w:val="Ruller40"/>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 w:numId="14">
    <w:abstractNumId w:val="10"/>
    <w:lvlOverride w:ilvl="0">
      <w:startOverride w:val="1"/>
    </w:lvlOverride>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27"/>
    <w:rsid w:val="00016EF1"/>
    <w:rsid w:val="00017188"/>
    <w:rsid w:val="00032036"/>
    <w:rsid w:val="00036227"/>
    <w:rsid w:val="00044953"/>
    <w:rsid w:val="00045B4D"/>
    <w:rsid w:val="000661F0"/>
    <w:rsid w:val="000725F5"/>
    <w:rsid w:val="00072AD2"/>
    <w:rsid w:val="00094502"/>
    <w:rsid w:val="000B1478"/>
    <w:rsid w:val="000C4690"/>
    <w:rsid w:val="000D25C4"/>
    <w:rsid w:val="00134A67"/>
    <w:rsid w:val="00144051"/>
    <w:rsid w:val="001A0164"/>
    <w:rsid w:val="00200D6B"/>
    <w:rsid w:val="00234FA8"/>
    <w:rsid w:val="00237B44"/>
    <w:rsid w:val="00265F6E"/>
    <w:rsid w:val="00272E66"/>
    <w:rsid w:val="002749AC"/>
    <w:rsid w:val="002876BF"/>
    <w:rsid w:val="002A4A7A"/>
    <w:rsid w:val="002A4BF3"/>
    <w:rsid w:val="002F7BB6"/>
    <w:rsid w:val="003448B2"/>
    <w:rsid w:val="00361DB2"/>
    <w:rsid w:val="0037622E"/>
    <w:rsid w:val="00377102"/>
    <w:rsid w:val="0039709B"/>
    <w:rsid w:val="003C3ADB"/>
    <w:rsid w:val="003D72DA"/>
    <w:rsid w:val="003F1F97"/>
    <w:rsid w:val="0041048F"/>
    <w:rsid w:val="0043761E"/>
    <w:rsid w:val="00437D59"/>
    <w:rsid w:val="0046011D"/>
    <w:rsid w:val="004610A4"/>
    <w:rsid w:val="004B29FF"/>
    <w:rsid w:val="004C7868"/>
    <w:rsid w:val="004E7A39"/>
    <w:rsid w:val="005003F0"/>
    <w:rsid w:val="00503A3E"/>
    <w:rsid w:val="00527F02"/>
    <w:rsid w:val="005803E2"/>
    <w:rsid w:val="0058440A"/>
    <w:rsid w:val="00591983"/>
    <w:rsid w:val="00624A42"/>
    <w:rsid w:val="0065522F"/>
    <w:rsid w:val="006A30F7"/>
    <w:rsid w:val="006C42AD"/>
    <w:rsid w:val="00715CDF"/>
    <w:rsid w:val="00725345"/>
    <w:rsid w:val="00741CC0"/>
    <w:rsid w:val="007529B2"/>
    <w:rsid w:val="00771196"/>
    <w:rsid w:val="007B512F"/>
    <w:rsid w:val="007D1019"/>
    <w:rsid w:val="007E2C7C"/>
    <w:rsid w:val="007F7512"/>
    <w:rsid w:val="00810894"/>
    <w:rsid w:val="008143AB"/>
    <w:rsid w:val="0083345F"/>
    <w:rsid w:val="00836667"/>
    <w:rsid w:val="00866D0F"/>
    <w:rsid w:val="008A62F8"/>
    <w:rsid w:val="008C2F11"/>
    <w:rsid w:val="008D78B9"/>
    <w:rsid w:val="008E3F85"/>
    <w:rsid w:val="009051E8"/>
    <w:rsid w:val="00907793"/>
    <w:rsid w:val="00914156"/>
    <w:rsid w:val="00916FF8"/>
    <w:rsid w:val="00922093"/>
    <w:rsid w:val="00930C85"/>
    <w:rsid w:val="009B38DA"/>
    <w:rsid w:val="009E2CFD"/>
    <w:rsid w:val="009F2F53"/>
    <w:rsid w:val="009F4187"/>
    <w:rsid w:val="00A12E0F"/>
    <w:rsid w:val="00A51FAE"/>
    <w:rsid w:val="00A80845"/>
    <w:rsid w:val="00AB072B"/>
    <w:rsid w:val="00AB69F7"/>
    <w:rsid w:val="00AD097B"/>
    <w:rsid w:val="00AD64B9"/>
    <w:rsid w:val="00AE022B"/>
    <w:rsid w:val="00B009CC"/>
    <w:rsid w:val="00B0782A"/>
    <w:rsid w:val="00B42BD6"/>
    <w:rsid w:val="00B62B8C"/>
    <w:rsid w:val="00B63343"/>
    <w:rsid w:val="00B87FF7"/>
    <w:rsid w:val="00BA0B08"/>
    <w:rsid w:val="00BC0E82"/>
    <w:rsid w:val="00BD40F9"/>
    <w:rsid w:val="00BD6101"/>
    <w:rsid w:val="00C3262F"/>
    <w:rsid w:val="00C41C86"/>
    <w:rsid w:val="00C63A6C"/>
    <w:rsid w:val="00CA13AF"/>
    <w:rsid w:val="00CA1444"/>
    <w:rsid w:val="00CB1590"/>
    <w:rsid w:val="00CB7600"/>
    <w:rsid w:val="00CC0E9D"/>
    <w:rsid w:val="00CC3639"/>
    <w:rsid w:val="00D00B1D"/>
    <w:rsid w:val="00D00CB7"/>
    <w:rsid w:val="00D25F16"/>
    <w:rsid w:val="00D42EB0"/>
    <w:rsid w:val="00D7407F"/>
    <w:rsid w:val="00DC6F13"/>
    <w:rsid w:val="00E14146"/>
    <w:rsid w:val="00E21CA9"/>
    <w:rsid w:val="00E31063"/>
    <w:rsid w:val="00E36FE9"/>
    <w:rsid w:val="00E73E98"/>
    <w:rsid w:val="00E75223"/>
    <w:rsid w:val="00E90D72"/>
    <w:rsid w:val="00EA0BE1"/>
    <w:rsid w:val="00EC23AC"/>
    <w:rsid w:val="00EC2992"/>
    <w:rsid w:val="00ED46A4"/>
    <w:rsid w:val="00ED6FD9"/>
    <w:rsid w:val="00EE3810"/>
    <w:rsid w:val="00F15C67"/>
    <w:rsid w:val="00F4415F"/>
    <w:rsid w:val="00F63C3B"/>
    <w:rsid w:val="00F959DB"/>
    <w:rsid w:val="00FC0252"/>
    <w:rsid w:val="00FE33C6"/>
    <w:rsid w:val="00FE6FA3"/>
    <w:rsid w:val="00FF7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67D891-BB69-42D0-BB8A-CF5F7A33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bidi/>
      <w:adjustRightInd w:val="0"/>
      <w:textAlignment w:val="baseline"/>
    </w:pPr>
    <w:rPr>
      <w:rFonts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ler3">
    <w:name w:val="Ruller 3"/>
    <w:basedOn w:val="Normal"/>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Normal"/>
    <w:pPr>
      <w:spacing w:line="360" w:lineRule="auto"/>
    </w:pPr>
    <w:rPr>
      <w:b/>
      <w:bCs/>
      <w:u w:val="single"/>
    </w:rPr>
  </w:style>
  <w:style w:type="paragraph" w:customStyle="1" w:styleId="FileNumber">
    <w:name w:val="File Number"/>
    <w:basedOn w:val="Normal"/>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Normal"/>
    <w:pPr>
      <w:jc w:val="center"/>
    </w:pPr>
    <w:rPr>
      <w:b/>
      <w:bCs/>
      <w:i/>
      <w:iCs/>
      <w:sz w:val="28"/>
      <w:szCs w:val="28"/>
    </w:rPr>
  </w:style>
  <w:style w:type="paragraph" w:customStyle="1" w:styleId="DocumentHead">
    <w:name w:val="Document Head"/>
    <w:basedOn w:val="Normal"/>
    <w:pPr>
      <w:spacing w:line="360" w:lineRule="auto"/>
      <w:jc w:val="center"/>
    </w:pPr>
    <w:rPr>
      <w:bCs/>
      <w:spacing w:val="30"/>
      <w:szCs w:val="28"/>
      <w:u w:val="single"/>
    </w:rPr>
  </w:style>
  <w:style w:type="paragraph" w:customStyle="1" w:styleId="TfutzaList">
    <w:name w:val="Tfutza List"/>
    <w:basedOn w:val="Normal"/>
    <w:rPr>
      <w:i/>
      <w:iCs/>
    </w:rPr>
  </w:style>
  <w:style w:type="paragraph" w:customStyle="1" w:styleId="Ruller41">
    <w:name w:val="Ruller4"/>
    <w:basedOn w:val="Normal"/>
    <w:link w:val="Ruller42"/>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Normal"/>
    <w:link w:val="Ruller50"/>
    <w:rsid w:val="00A51FAE"/>
    <w:pPr>
      <w:ind w:left="1642" w:right="1282"/>
      <w:jc w:val="both"/>
    </w:pPr>
    <w:rPr>
      <w:rFonts w:ascii="Arial TUR" w:hAnsi="Arial TUR" w:cs="FrankRuehl"/>
      <w:spacing w:val="10"/>
      <w:sz w:val="22"/>
      <w:szCs w:val="28"/>
    </w:rPr>
  </w:style>
  <w:style w:type="paragraph" w:customStyle="1" w:styleId="Ruller6">
    <w:name w:val="Ruller6"/>
    <w:basedOn w:val="Normal"/>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2">
    <w:name w:val="ñâðåï2"/>
    <w:basedOn w:val="Normal"/>
    <w:pPr>
      <w:overflowPunct/>
      <w:textAlignment w:val="auto"/>
    </w:pPr>
    <w:rPr>
      <w:rFonts w:cs="Times New Roman"/>
    </w:rPr>
  </w:style>
  <w:style w:type="paragraph" w:customStyle="1" w:styleId="Casenameintextbody">
    <w:name w:val="Case name in text body"/>
    <w:basedOn w:val="Normal"/>
    <w:pPr>
      <w:overflowPunct/>
      <w:jc w:val="right"/>
      <w:textAlignment w:val="auto"/>
    </w:pPr>
    <w:rPr>
      <w:rFonts w:cs="Times New Roman"/>
      <w:b/>
      <w:bCs/>
      <w:u w:val="single"/>
    </w:rPr>
  </w:style>
  <w:style w:type="paragraph" w:customStyle="1" w:styleId="precasestyle">
    <w:name w:val="pre_case style"/>
    <w:basedOn w:val="Normal"/>
    <w:pPr>
      <w:tabs>
        <w:tab w:val="left" w:pos="2552"/>
      </w:tabs>
      <w:overflowPunct/>
      <w:ind w:right="2549"/>
      <w:textAlignment w:val="auto"/>
    </w:pPr>
    <w:rPr>
      <w:rFonts w:cs="Times New Roman"/>
    </w:rPr>
  </w:style>
  <w:style w:type="paragraph" w:customStyle="1" w:styleId="BodyRuller">
    <w:name w:val="Body Ruller"/>
    <w:basedOn w:val="Normal"/>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Normal"/>
    <w:rsid w:val="00036227"/>
    <w:rPr>
      <w:rFonts w:cs="FrankRuehl"/>
      <w:spacing w:val="10"/>
      <w:sz w:val="22"/>
      <w:szCs w:val="28"/>
    </w:rPr>
  </w:style>
  <w:style w:type="character" w:styleId="Hyperlink">
    <w:name w:val="Hyperlink"/>
    <w:rsid w:val="003F1F97"/>
    <w:rPr>
      <w:color w:val="0000FF"/>
      <w:u w:val="single"/>
    </w:rPr>
  </w:style>
  <w:style w:type="table" w:styleId="TableGrid">
    <w:name w:val="Table Grid"/>
    <w:basedOn w:val="TableNormal"/>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8440A"/>
    <w:rPr>
      <w:color w:val="954F72" w:themeColor="followedHyperlink"/>
      <w:u w:val="single"/>
    </w:rPr>
  </w:style>
  <w:style w:type="character" w:styleId="CommentReference">
    <w:name w:val="annotation reference"/>
    <w:basedOn w:val="DefaultParagraphFont"/>
    <w:uiPriority w:val="99"/>
    <w:rsid w:val="00D00B1D"/>
    <w:rPr>
      <w:sz w:val="16"/>
      <w:szCs w:val="16"/>
    </w:rPr>
  </w:style>
  <w:style w:type="paragraph" w:styleId="CommentText">
    <w:name w:val="annotation text"/>
    <w:basedOn w:val="Normal"/>
    <w:link w:val="CommentTextChar"/>
    <w:uiPriority w:val="99"/>
    <w:rsid w:val="00D00B1D"/>
    <w:rPr>
      <w:szCs w:val="20"/>
    </w:rPr>
  </w:style>
  <w:style w:type="character" w:customStyle="1" w:styleId="CommentTextChar">
    <w:name w:val="Comment Text Char"/>
    <w:basedOn w:val="DefaultParagraphFont"/>
    <w:link w:val="CommentText"/>
    <w:uiPriority w:val="99"/>
    <w:rsid w:val="00D00B1D"/>
    <w:rPr>
      <w:rFonts w:cs="David"/>
    </w:rPr>
  </w:style>
  <w:style w:type="paragraph" w:styleId="CommentSubject">
    <w:name w:val="annotation subject"/>
    <w:basedOn w:val="CommentText"/>
    <w:next w:val="CommentText"/>
    <w:link w:val="CommentSubjectChar"/>
    <w:rsid w:val="00D00B1D"/>
    <w:rPr>
      <w:b/>
      <w:bCs/>
    </w:rPr>
  </w:style>
  <w:style w:type="character" w:customStyle="1" w:styleId="CommentSubjectChar">
    <w:name w:val="Comment Subject Char"/>
    <w:basedOn w:val="CommentTextChar"/>
    <w:link w:val="CommentSubject"/>
    <w:rsid w:val="00D00B1D"/>
    <w:rPr>
      <w:rFonts w:cs="David"/>
      <w:b/>
      <w:bCs/>
    </w:rPr>
  </w:style>
  <w:style w:type="paragraph" w:styleId="BalloonText">
    <w:name w:val="Balloon Text"/>
    <w:basedOn w:val="Normal"/>
    <w:link w:val="BalloonTextChar"/>
    <w:rsid w:val="00D00B1D"/>
    <w:rPr>
      <w:rFonts w:ascii="Tahoma" w:hAnsi="Tahoma" w:cs="Tahoma"/>
      <w:sz w:val="18"/>
      <w:szCs w:val="18"/>
    </w:rPr>
  </w:style>
  <w:style w:type="character" w:customStyle="1" w:styleId="BalloonTextChar">
    <w:name w:val="Balloon Text Char"/>
    <w:basedOn w:val="DefaultParagraphFont"/>
    <w:link w:val="BalloonText"/>
    <w:rsid w:val="00D00B1D"/>
    <w:rPr>
      <w:rFonts w:ascii="Tahoma" w:hAnsi="Tahoma" w:cs="Tahoma"/>
      <w:sz w:val="18"/>
      <w:szCs w:val="18"/>
    </w:rPr>
  </w:style>
  <w:style w:type="paragraph" w:customStyle="1" w:styleId="Ruller4">
    <w:name w:val="Ruller 4 ממוספר"/>
    <w:basedOn w:val="Ruller41"/>
    <w:next w:val="Ruller41"/>
    <w:link w:val="Ruller43"/>
    <w:qFormat/>
    <w:rsid w:val="0046011D"/>
    <w:pPr>
      <w:numPr>
        <w:numId w:val="11"/>
      </w:numPr>
    </w:pPr>
    <w:rPr>
      <w:rFonts w:ascii="Garamond" w:hAnsi="Garamond"/>
      <w:sz w:val="24"/>
    </w:rPr>
  </w:style>
  <w:style w:type="paragraph" w:customStyle="1" w:styleId="Ruller40">
    <w:name w:val="Ruller4 אלפביתי"/>
    <w:basedOn w:val="Ruller41"/>
    <w:next w:val="Ruller41"/>
    <w:rsid w:val="0046011D"/>
    <w:pPr>
      <w:numPr>
        <w:numId w:val="12"/>
      </w:numPr>
    </w:pPr>
  </w:style>
  <w:style w:type="character" w:customStyle="1" w:styleId="Ruller42">
    <w:name w:val="Ruller4 תו"/>
    <w:link w:val="Ruller41"/>
    <w:rsid w:val="0046011D"/>
    <w:rPr>
      <w:rFonts w:ascii="Arial TUR" w:hAnsi="Arial TUR" w:cs="FrankRuehl"/>
      <w:spacing w:val="10"/>
      <w:sz w:val="22"/>
      <w:szCs w:val="28"/>
    </w:rPr>
  </w:style>
  <w:style w:type="character" w:customStyle="1" w:styleId="Ruller43">
    <w:name w:val="Ruller 4 ממוספר תו"/>
    <w:link w:val="Ruller4"/>
    <w:rsid w:val="0046011D"/>
    <w:rPr>
      <w:rFonts w:ascii="Garamond" w:hAnsi="Garamond" w:cs="FrankRuehl"/>
      <w:spacing w:val="10"/>
      <w:sz w:val="24"/>
      <w:szCs w:val="28"/>
    </w:rPr>
  </w:style>
  <w:style w:type="character" w:customStyle="1" w:styleId="Ruller50">
    <w:name w:val="Ruller5 תו"/>
    <w:link w:val="Ruller5"/>
    <w:rsid w:val="0046011D"/>
    <w:rPr>
      <w:rFonts w:ascii="Arial TUR" w:hAnsi="Arial TUR" w:cs="FrankRuehl"/>
      <w:spacing w:val="10"/>
      <w:sz w:val="22"/>
      <w:szCs w:val="28"/>
    </w:rPr>
  </w:style>
  <w:style w:type="character" w:customStyle="1" w:styleId="default">
    <w:name w:val="default"/>
    <w:basedOn w:val="DefaultParagraphFont"/>
    <w:rsid w:val="0027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upreme.court.gov.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11023</Words>
  <Characters>52693</Characters>
  <Application>Microsoft Office Word</Application>
  <DocSecurity>0</DocSecurity>
  <Lines>1170</Lines>
  <Paragraphs>190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פסק-דין בתיק בג"ץ  5158/21</vt:lpstr>
    </vt:vector>
  </TitlesOfParts>
  <Company/>
  <LinksUpToDate>false</LinksUpToDate>
  <CharactersWithSpaces>63526</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Orly  Erez Likhovski</dc:creator>
  <cp:keywords/>
  <dc:description/>
  <cp:lastModifiedBy>Orly  Erez Likhovski</cp:lastModifiedBy>
  <cp:revision>2</cp:revision>
  <cp:lastPrinted>2023-12-28T14:00:00Z</cp:lastPrinted>
  <dcterms:created xsi:type="dcterms:W3CDTF">2023-12-28T14:02:00Z</dcterms:created>
  <dcterms:modified xsi:type="dcterms:W3CDTF">2023-12-28T14:02:00Z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650f522ac240040c249449fd757f5e7fd7f2d654cb69dd344d78c264a523940a</vt:lpwstr>
  </property>
</Properties>
</file>